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E8" w:rsidRDefault="005577E8" w:rsidP="005577E8">
      <w:pPr>
        <w:pStyle w:val="Title"/>
        <w:jc w:val="center"/>
      </w:pPr>
      <w:r>
        <w:t xml:space="preserve">2016 Assessment of College Processes </w:t>
      </w:r>
    </w:p>
    <w:p w:rsidR="00405FEC" w:rsidRDefault="00405FEC" w:rsidP="00405FEC">
      <w:pPr>
        <w:pStyle w:val="Title"/>
      </w:pPr>
    </w:p>
    <w:p w:rsidR="00405FEC" w:rsidRDefault="00405FEC" w:rsidP="00405FEC">
      <w:pPr>
        <w:pStyle w:val="Title"/>
      </w:pPr>
      <w:r>
        <w:t>Overview</w:t>
      </w:r>
    </w:p>
    <w:p w:rsidR="00405FEC" w:rsidRDefault="00405FEC" w:rsidP="00405FEC">
      <w:r>
        <w:t xml:space="preserve">In April 2016, Merritt College developed and distributed a campus wide assessment of major college processes including assessment, program review, integrated planning and budgeting and collegial decision making via the participatory governance committees. In order to develop the survey questions, the campus researcher consulted a similar tool used in 2011 to assess these processes, and worked with Faculty and members of the College Educational Master Planning Committee and Accreditation Follow-up Report Committee to refine and edit survey questions. </w:t>
      </w:r>
    </w:p>
    <w:p w:rsidR="00405FEC" w:rsidRDefault="00405FEC" w:rsidP="00F31E29">
      <w:r>
        <w:t>The survey and two reminder emails were distributed to Faculty, Administrators, and Classified staff using Survey</w:t>
      </w:r>
      <w:r w:rsidR="00D71344">
        <w:t xml:space="preserve"> </w:t>
      </w:r>
      <w:r>
        <w:t>Monkey.  82 total responses were collected: 6 Administrators, 23 Classified Staff, and 53 Faculty. Survey results will be shared with the campus community, participatory governance committees and College Leadership and published on the College website.</w:t>
      </w:r>
    </w:p>
    <w:p w:rsidR="00405FEC" w:rsidRDefault="00F31E29" w:rsidP="00405FEC">
      <w:pPr>
        <w:pStyle w:val="Title"/>
      </w:pPr>
      <w:r>
        <w:t>Summary</w:t>
      </w:r>
      <w:r w:rsidR="00405FEC">
        <w:t xml:space="preserve"> Comments</w:t>
      </w:r>
    </w:p>
    <w:p w:rsidR="00405FEC" w:rsidRDefault="00405FEC" w:rsidP="00405FEC">
      <w:pPr>
        <w:pStyle w:val="ListParagraph"/>
        <w:numPr>
          <w:ilvl w:val="0"/>
          <w:numId w:val="1"/>
        </w:numPr>
      </w:pPr>
      <w:r>
        <w:t xml:space="preserve">The campus recognizes wide-scale efforts at improvement, which makes </w:t>
      </w:r>
      <w:proofErr w:type="gramStart"/>
      <w:r>
        <w:t>constituents</w:t>
      </w:r>
      <w:proofErr w:type="gramEnd"/>
      <w:r>
        <w:t xml:space="preserve"> feel like the campus is improving in effectiveness.</w:t>
      </w:r>
    </w:p>
    <w:p w:rsidR="00405FEC" w:rsidRDefault="00405FEC" w:rsidP="00405FEC">
      <w:pPr>
        <w:pStyle w:val="ListParagraph"/>
        <w:numPr>
          <w:ilvl w:val="0"/>
          <w:numId w:val="1"/>
        </w:numPr>
      </w:pPr>
      <w:r>
        <w:t xml:space="preserve">It is imperative that in order for these </w:t>
      </w:r>
      <w:bookmarkStart w:id="0" w:name="_GoBack"/>
      <w:bookmarkEnd w:id="0"/>
      <w:r>
        <w:t>processes to improve, more of the campus needs to be involved and aware.</w:t>
      </w:r>
    </w:p>
    <w:p w:rsidR="00405FEC" w:rsidRDefault="00405FEC" w:rsidP="00405FEC">
      <w:pPr>
        <w:pStyle w:val="ListParagraph"/>
        <w:numPr>
          <w:ilvl w:val="0"/>
          <w:numId w:val="1"/>
        </w:numPr>
      </w:pPr>
      <w:r>
        <w:t>In comparing comments from low effectiveness ratings and high effectiveness ratings, when the comments are similar, it may be an indication of high impact strategies. If the person is engaged in this strategy, it seems to increase their awareness and understanding of the process, and positively impact their perspective and effectiveness rating. If the person rated effectiveness as low, but mentioned the same strategy as a comment, it would indicated that the lack of engagement in this strategy negatively impacted their perspective and rating in regards to effectiveness of the process. For example, the campus is at a consensus that training and support increases the effectiveness of our processes. If a person received and engaged in training, they perceived the process as effective. If a person felt there was no adequate training, or didn’t receive or engage in training, they felt the process was not effective.</w:t>
      </w:r>
    </w:p>
    <w:p w:rsidR="00405FEC" w:rsidRDefault="00405FEC" w:rsidP="00405FEC">
      <w:pPr>
        <w:pStyle w:val="ListParagraph"/>
        <w:numPr>
          <w:ilvl w:val="0"/>
          <w:numId w:val="1"/>
        </w:numPr>
      </w:pPr>
      <w:r>
        <w:t>Campus processes overall face similar challenges: to increase participation and collaboration, transparency, simply and sustain.</w:t>
      </w:r>
    </w:p>
    <w:p w:rsidR="005577E8" w:rsidRDefault="00405FEC" w:rsidP="00262FCB">
      <w:pPr>
        <w:pStyle w:val="ListParagraph"/>
        <w:numPr>
          <w:ilvl w:val="0"/>
          <w:numId w:val="1"/>
        </w:numPr>
      </w:pPr>
      <w:r>
        <w:t>The campus needs to define what effectiveness looks like for all these processes and identify potential direct measures of assessment.</w:t>
      </w:r>
    </w:p>
    <w:p w:rsidR="004E4272" w:rsidRDefault="00146987" w:rsidP="00262FCB">
      <w:pPr>
        <w:pStyle w:val="Title"/>
      </w:pPr>
      <w:r>
        <w:lastRenderedPageBreak/>
        <w:t>Assessment:</w:t>
      </w:r>
    </w:p>
    <w:tbl>
      <w:tblPr>
        <w:tblW w:w="10927"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4"/>
        <w:gridCol w:w="800"/>
        <w:gridCol w:w="740"/>
        <w:gridCol w:w="1150"/>
        <w:gridCol w:w="1003"/>
        <w:gridCol w:w="19"/>
        <w:gridCol w:w="688"/>
        <w:gridCol w:w="802"/>
        <w:gridCol w:w="818"/>
        <w:gridCol w:w="873"/>
      </w:tblGrid>
      <w:tr w:rsidR="00262FCB" w:rsidRPr="004800BA" w:rsidTr="004C6E85">
        <w:trPr>
          <w:trHeight w:val="465"/>
          <w:jc w:val="center"/>
        </w:trPr>
        <w:tc>
          <w:tcPr>
            <w:tcW w:w="4034" w:type="dxa"/>
            <w:shd w:val="clear" w:color="auto" w:fill="BFBFBF" w:themeFill="background1" w:themeFillShade="BF"/>
          </w:tcPr>
          <w:p w:rsidR="00262FCB" w:rsidRPr="004800BA" w:rsidRDefault="00262FCB" w:rsidP="00E9401F">
            <w:pPr>
              <w:pStyle w:val="NoSpacing"/>
              <w:rPr>
                <w:b/>
              </w:rPr>
            </w:pPr>
            <w:r w:rsidRPr="004800BA">
              <w:rPr>
                <w:b/>
              </w:rPr>
              <w:t>Assessment Processes</w:t>
            </w:r>
          </w:p>
        </w:tc>
        <w:tc>
          <w:tcPr>
            <w:tcW w:w="1540" w:type="dxa"/>
            <w:gridSpan w:val="2"/>
            <w:shd w:val="clear" w:color="auto" w:fill="BFBFBF" w:themeFill="background1" w:themeFillShade="BF"/>
          </w:tcPr>
          <w:p w:rsidR="00262FCB" w:rsidRPr="004800BA" w:rsidRDefault="00262FCB" w:rsidP="00E9401F">
            <w:pPr>
              <w:pStyle w:val="NoSpacing"/>
              <w:rPr>
                <w:b/>
              </w:rPr>
            </w:pPr>
            <w:r>
              <w:rPr>
                <w:b/>
              </w:rPr>
              <w:t>Always/Most of the Time</w:t>
            </w:r>
          </w:p>
        </w:tc>
        <w:tc>
          <w:tcPr>
            <w:tcW w:w="2153" w:type="dxa"/>
            <w:gridSpan w:val="2"/>
            <w:shd w:val="clear" w:color="auto" w:fill="BFBFBF" w:themeFill="background1" w:themeFillShade="BF"/>
          </w:tcPr>
          <w:p w:rsidR="00262FCB" w:rsidRPr="004800BA" w:rsidRDefault="00262FCB" w:rsidP="00E9401F">
            <w:pPr>
              <w:pStyle w:val="NoSpacing"/>
              <w:rPr>
                <w:b/>
              </w:rPr>
            </w:pPr>
            <w:r>
              <w:rPr>
                <w:b/>
              </w:rPr>
              <w:t>Occasionally/Some of the Time</w:t>
            </w:r>
          </w:p>
        </w:tc>
        <w:tc>
          <w:tcPr>
            <w:tcW w:w="1509" w:type="dxa"/>
            <w:gridSpan w:val="3"/>
            <w:shd w:val="clear" w:color="auto" w:fill="BFBFBF" w:themeFill="background1" w:themeFillShade="BF"/>
          </w:tcPr>
          <w:p w:rsidR="00262FCB" w:rsidRPr="004800BA" w:rsidRDefault="00262FCB" w:rsidP="00E9401F">
            <w:pPr>
              <w:pStyle w:val="NoSpacing"/>
              <w:rPr>
                <w:b/>
              </w:rPr>
            </w:pPr>
            <w:r>
              <w:rPr>
                <w:b/>
              </w:rPr>
              <w:t>Rarely/Never</w:t>
            </w:r>
          </w:p>
        </w:tc>
        <w:tc>
          <w:tcPr>
            <w:tcW w:w="1691" w:type="dxa"/>
            <w:gridSpan w:val="2"/>
            <w:shd w:val="clear" w:color="auto" w:fill="BFBFBF" w:themeFill="background1" w:themeFillShade="BF"/>
          </w:tcPr>
          <w:p w:rsidR="00262FCB" w:rsidRPr="004800BA" w:rsidRDefault="00262FCB" w:rsidP="00E9401F">
            <w:pPr>
              <w:pStyle w:val="NoSpacing"/>
              <w:rPr>
                <w:b/>
              </w:rPr>
            </w:pPr>
            <w:r>
              <w:rPr>
                <w:b/>
              </w:rPr>
              <w:t>I don’t know.</w:t>
            </w:r>
          </w:p>
        </w:tc>
      </w:tr>
      <w:tr w:rsidR="00F31E29" w:rsidRPr="0066689E" w:rsidTr="00F31E29">
        <w:trPr>
          <w:trHeight w:val="450"/>
          <w:jc w:val="center"/>
        </w:trPr>
        <w:tc>
          <w:tcPr>
            <w:tcW w:w="4034" w:type="dxa"/>
          </w:tcPr>
          <w:p w:rsidR="00F31E29" w:rsidRDefault="00F31E29" w:rsidP="00E9401F">
            <w:pPr>
              <w:pStyle w:val="NoSpacing"/>
            </w:pPr>
            <w:r>
              <w:t>My department or unit plans and prepares for upcoming assessment activities.</w:t>
            </w:r>
          </w:p>
        </w:tc>
        <w:tc>
          <w:tcPr>
            <w:tcW w:w="800" w:type="dxa"/>
          </w:tcPr>
          <w:p w:rsidR="00F31E29" w:rsidRPr="0066689E" w:rsidRDefault="00F31E29" w:rsidP="00F31E29">
            <w:pPr>
              <w:pStyle w:val="NoSpacing"/>
              <w:jc w:val="center"/>
              <w:rPr>
                <w:sz w:val="20"/>
                <w:szCs w:val="20"/>
              </w:rPr>
            </w:pPr>
            <w:r>
              <w:rPr>
                <w:sz w:val="20"/>
                <w:szCs w:val="20"/>
              </w:rPr>
              <w:t>38</w:t>
            </w:r>
          </w:p>
        </w:tc>
        <w:tc>
          <w:tcPr>
            <w:tcW w:w="740" w:type="dxa"/>
          </w:tcPr>
          <w:p w:rsidR="00F31E29" w:rsidRPr="0066689E" w:rsidRDefault="00F31E29" w:rsidP="00E9401F">
            <w:pPr>
              <w:pStyle w:val="NoSpacing"/>
              <w:jc w:val="center"/>
              <w:rPr>
                <w:sz w:val="20"/>
                <w:szCs w:val="20"/>
              </w:rPr>
            </w:pPr>
            <w:r w:rsidRPr="0066689E">
              <w:rPr>
                <w:sz w:val="20"/>
                <w:szCs w:val="20"/>
              </w:rPr>
              <w:t>46%</w:t>
            </w:r>
          </w:p>
        </w:tc>
        <w:tc>
          <w:tcPr>
            <w:tcW w:w="1150" w:type="dxa"/>
          </w:tcPr>
          <w:p w:rsidR="00F31E29" w:rsidRPr="0066689E" w:rsidRDefault="00F31E29" w:rsidP="00F31E29">
            <w:pPr>
              <w:pStyle w:val="NoSpacing"/>
              <w:jc w:val="center"/>
              <w:rPr>
                <w:sz w:val="20"/>
                <w:szCs w:val="20"/>
              </w:rPr>
            </w:pPr>
            <w:r>
              <w:rPr>
                <w:sz w:val="20"/>
                <w:szCs w:val="20"/>
              </w:rPr>
              <w:t>33</w:t>
            </w:r>
          </w:p>
        </w:tc>
        <w:tc>
          <w:tcPr>
            <w:tcW w:w="1022" w:type="dxa"/>
            <w:gridSpan w:val="2"/>
          </w:tcPr>
          <w:p w:rsidR="00F31E29" w:rsidRPr="0066689E" w:rsidRDefault="00F31E29" w:rsidP="00E9401F">
            <w:pPr>
              <w:pStyle w:val="NoSpacing"/>
              <w:jc w:val="center"/>
              <w:rPr>
                <w:sz w:val="20"/>
                <w:szCs w:val="20"/>
              </w:rPr>
            </w:pPr>
            <w:r w:rsidRPr="0066689E">
              <w:rPr>
                <w:sz w:val="20"/>
                <w:szCs w:val="20"/>
              </w:rPr>
              <w:t>40%</w:t>
            </w:r>
          </w:p>
        </w:tc>
        <w:tc>
          <w:tcPr>
            <w:tcW w:w="688" w:type="dxa"/>
          </w:tcPr>
          <w:p w:rsidR="00F31E29" w:rsidRPr="0066689E" w:rsidRDefault="00F31E29" w:rsidP="00F31E29">
            <w:pPr>
              <w:pStyle w:val="NoSpacing"/>
              <w:jc w:val="center"/>
              <w:rPr>
                <w:sz w:val="20"/>
                <w:szCs w:val="20"/>
              </w:rPr>
            </w:pPr>
            <w:r>
              <w:rPr>
                <w:sz w:val="20"/>
                <w:szCs w:val="20"/>
              </w:rPr>
              <w:t>7</w:t>
            </w:r>
          </w:p>
        </w:tc>
        <w:tc>
          <w:tcPr>
            <w:tcW w:w="802" w:type="dxa"/>
          </w:tcPr>
          <w:p w:rsidR="00F31E29" w:rsidRPr="0066689E" w:rsidRDefault="00F31E29" w:rsidP="00E9401F">
            <w:pPr>
              <w:pStyle w:val="NoSpacing"/>
              <w:jc w:val="center"/>
              <w:rPr>
                <w:sz w:val="20"/>
                <w:szCs w:val="20"/>
              </w:rPr>
            </w:pPr>
            <w:r w:rsidRPr="0066689E">
              <w:rPr>
                <w:sz w:val="20"/>
                <w:szCs w:val="20"/>
              </w:rPr>
              <w:t>9%</w:t>
            </w:r>
          </w:p>
        </w:tc>
        <w:tc>
          <w:tcPr>
            <w:tcW w:w="818" w:type="dxa"/>
          </w:tcPr>
          <w:p w:rsidR="00F31E29" w:rsidRPr="0066689E" w:rsidRDefault="00F31E29" w:rsidP="00F31E29">
            <w:pPr>
              <w:pStyle w:val="NoSpacing"/>
              <w:jc w:val="center"/>
              <w:rPr>
                <w:sz w:val="20"/>
                <w:szCs w:val="20"/>
              </w:rPr>
            </w:pPr>
            <w:r>
              <w:rPr>
                <w:sz w:val="20"/>
                <w:szCs w:val="20"/>
              </w:rPr>
              <w:t>4</w:t>
            </w:r>
          </w:p>
        </w:tc>
        <w:tc>
          <w:tcPr>
            <w:tcW w:w="873" w:type="dxa"/>
          </w:tcPr>
          <w:p w:rsidR="00F31E29" w:rsidRPr="0066689E" w:rsidRDefault="00F31E29" w:rsidP="00E9401F">
            <w:pPr>
              <w:pStyle w:val="NoSpacing"/>
              <w:jc w:val="center"/>
              <w:rPr>
                <w:sz w:val="20"/>
                <w:szCs w:val="20"/>
              </w:rPr>
            </w:pPr>
            <w:r w:rsidRPr="0066689E">
              <w:rPr>
                <w:sz w:val="20"/>
                <w:szCs w:val="20"/>
              </w:rPr>
              <w:t>5%</w:t>
            </w:r>
          </w:p>
        </w:tc>
      </w:tr>
      <w:tr w:rsidR="00F31E29" w:rsidRPr="0066689E" w:rsidTr="00F31E29">
        <w:trPr>
          <w:trHeight w:val="540"/>
          <w:jc w:val="center"/>
        </w:trPr>
        <w:tc>
          <w:tcPr>
            <w:tcW w:w="4034" w:type="dxa"/>
          </w:tcPr>
          <w:p w:rsidR="00F31E29" w:rsidRDefault="00F31E29" w:rsidP="00E9401F">
            <w:pPr>
              <w:pStyle w:val="NoSpacing"/>
            </w:pPr>
            <w:r>
              <w:t>My department or unit makes improvements based on assessment results.</w:t>
            </w:r>
          </w:p>
        </w:tc>
        <w:tc>
          <w:tcPr>
            <w:tcW w:w="800" w:type="dxa"/>
          </w:tcPr>
          <w:p w:rsidR="00F31E29" w:rsidRPr="0066689E" w:rsidRDefault="00F31E29" w:rsidP="00F31E29">
            <w:pPr>
              <w:pStyle w:val="NoSpacing"/>
              <w:jc w:val="center"/>
              <w:rPr>
                <w:sz w:val="20"/>
                <w:szCs w:val="20"/>
              </w:rPr>
            </w:pPr>
            <w:r>
              <w:rPr>
                <w:sz w:val="20"/>
                <w:szCs w:val="20"/>
              </w:rPr>
              <w:t>39</w:t>
            </w:r>
          </w:p>
        </w:tc>
        <w:tc>
          <w:tcPr>
            <w:tcW w:w="740" w:type="dxa"/>
          </w:tcPr>
          <w:p w:rsidR="00F31E29" w:rsidRPr="0066689E" w:rsidRDefault="00F31E29" w:rsidP="00E9401F">
            <w:pPr>
              <w:pStyle w:val="NoSpacing"/>
              <w:jc w:val="center"/>
              <w:rPr>
                <w:sz w:val="20"/>
                <w:szCs w:val="20"/>
              </w:rPr>
            </w:pPr>
            <w:r w:rsidRPr="0066689E">
              <w:rPr>
                <w:sz w:val="20"/>
                <w:szCs w:val="20"/>
              </w:rPr>
              <w:t>48%</w:t>
            </w:r>
          </w:p>
        </w:tc>
        <w:tc>
          <w:tcPr>
            <w:tcW w:w="1150" w:type="dxa"/>
          </w:tcPr>
          <w:p w:rsidR="00F31E29" w:rsidRPr="0066689E" w:rsidRDefault="00F31E29" w:rsidP="00F31E29">
            <w:pPr>
              <w:pStyle w:val="NoSpacing"/>
              <w:jc w:val="center"/>
              <w:rPr>
                <w:sz w:val="20"/>
                <w:szCs w:val="20"/>
              </w:rPr>
            </w:pPr>
            <w:r>
              <w:rPr>
                <w:sz w:val="20"/>
                <w:szCs w:val="20"/>
              </w:rPr>
              <w:t>20</w:t>
            </w:r>
          </w:p>
        </w:tc>
        <w:tc>
          <w:tcPr>
            <w:tcW w:w="1022" w:type="dxa"/>
            <w:gridSpan w:val="2"/>
          </w:tcPr>
          <w:p w:rsidR="00F31E29" w:rsidRPr="0066689E" w:rsidRDefault="00F31E29" w:rsidP="00E9401F">
            <w:pPr>
              <w:pStyle w:val="NoSpacing"/>
              <w:jc w:val="center"/>
              <w:rPr>
                <w:sz w:val="20"/>
                <w:szCs w:val="20"/>
              </w:rPr>
            </w:pPr>
            <w:r w:rsidRPr="0066689E">
              <w:rPr>
                <w:sz w:val="20"/>
                <w:szCs w:val="20"/>
              </w:rPr>
              <w:t>25%</w:t>
            </w:r>
          </w:p>
        </w:tc>
        <w:tc>
          <w:tcPr>
            <w:tcW w:w="688" w:type="dxa"/>
          </w:tcPr>
          <w:p w:rsidR="00F31E29" w:rsidRPr="0066689E" w:rsidRDefault="00F31E29" w:rsidP="00F31E29">
            <w:pPr>
              <w:pStyle w:val="NoSpacing"/>
              <w:jc w:val="center"/>
              <w:rPr>
                <w:sz w:val="20"/>
                <w:szCs w:val="20"/>
              </w:rPr>
            </w:pPr>
            <w:r>
              <w:rPr>
                <w:sz w:val="20"/>
                <w:szCs w:val="20"/>
              </w:rPr>
              <w:t>14</w:t>
            </w:r>
          </w:p>
        </w:tc>
        <w:tc>
          <w:tcPr>
            <w:tcW w:w="802" w:type="dxa"/>
          </w:tcPr>
          <w:p w:rsidR="00F31E29" w:rsidRPr="0066689E" w:rsidRDefault="00F31E29" w:rsidP="00E9401F">
            <w:pPr>
              <w:pStyle w:val="NoSpacing"/>
              <w:jc w:val="center"/>
              <w:rPr>
                <w:sz w:val="20"/>
                <w:szCs w:val="20"/>
              </w:rPr>
            </w:pPr>
            <w:r w:rsidRPr="0066689E">
              <w:rPr>
                <w:sz w:val="20"/>
                <w:szCs w:val="20"/>
              </w:rPr>
              <w:t>17%</w:t>
            </w:r>
          </w:p>
        </w:tc>
        <w:tc>
          <w:tcPr>
            <w:tcW w:w="818" w:type="dxa"/>
          </w:tcPr>
          <w:p w:rsidR="00F31E29" w:rsidRPr="0066689E" w:rsidRDefault="00F31E29" w:rsidP="00F31E29">
            <w:pPr>
              <w:pStyle w:val="NoSpacing"/>
              <w:jc w:val="center"/>
              <w:rPr>
                <w:sz w:val="20"/>
                <w:szCs w:val="20"/>
              </w:rPr>
            </w:pPr>
            <w:r>
              <w:rPr>
                <w:sz w:val="20"/>
                <w:szCs w:val="20"/>
              </w:rPr>
              <w:t>8</w:t>
            </w:r>
          </w:p>
        </w:tc>
        <w:tc>
          <w:tcPr>
            <w:tcW w:w="873" w:type="dxa"/>
          </w:tcPr>
          <w:p w:rsidR="00F31E29" w:rsidRPr="0066689E" w:rsidRDefault="00F31E29" w:rsidP="00E9401F">
            <w:pPr>
              <w:pStyle w:val="NoSpacing"/>
              <w:jc w:val="center"/>
              <w:rPr>
                <w:sz w:val="20"/>
                <w:szCs w:val="20"/>
              </w:rPr>
            </w:pPr>
            <w:r w:rsidRPr="0066689E">
              <w:rPr>
                <w:sz w:val="20"/>
                <w:szCs w:val="20"/>
              </w:rPr>
              <w:t>10%</w:t>
            </w:r>
          </w:p>
        </w:tc>
      </w:tr>
      <w:tr w:rsidR="00F31E29" w:rsidRPr="0066689E" w:rsidTr="00F31E29">
        <w:trPr>
          <w:trHeight w:val="555"/>
          <w:jc w:val="center"/>
        </w:trPr>
        <w:tc>
          <w:tcPr>
            <w:tcW w:w="4034" w:type="dxa"/>
          </w:tcPr>
          <w:p w:rsidR="00F31E29" w:rsidRDefault="00F31E29" w:rsidP="00E9401F">
            <w:pPr>
              <w:pStyle w:val="NoSpacing"/>
            </w:pPr>
            <w:r>
              <w:t>Overall, assessment drives improvement in student learning and achievement at Merritt College.</w:t>
            </w:r>
          </w:p>
        </w:tc>
        <w:tc>
          <w:tcPr>
            <w:tcW w:w="800" w:type="dxa"/>
          </w:tcPr>
          <w:p w:rsidR="00F31E29" w:rsidRPr="0066689E" w:rsidRDefault="00F31E29" w:rsidP="00F31E29">
            <w:pPr>
              <w:pStyle w:val="NoSpacing"/>
              <w:jc w:val="center"/>
              <w:rPr>
                <w:sz w:val="20"/>
                <w:szCs w:val="20"/>
              </w:rPr>
            </w:pPr>
            <w:r>
              <w:rPr>
                <w:sz w:val="20"/>
                <w:szCs w:val="20"/>
              </w:rPr>
              <w:t>26</w:t>
            </w:r>
          </w:p>
        </w:tc>
        <w:tc>
          <w:tcPr>
            <w:tcW w:w="740" w:type="dxa"/>
          </w:tcPr>
          <w:p w:rsidR="00F31E29" w:rsidRPr="0066689E" w:rsidRDefault="00F31E29" w:rsidP="00E9401F">
            <w:pPr>
              <w:pStyle w:val="NoSpacing"/>
              <w:jc w:val="center"/>
              <w:rPr>
                <w:sz w:val="20"/>
                <w:szCs w:val="20"/>
              </w:rPr>
            </w:pPr>
            <w:r w:rsidRPr="0066689E">
              <w:rPr>
                <w:sz w:val="20"/>
                <w:szCs w:val="20"/>
              </w:rPr>
              <w:t>32%</w:t>
            </w:r>
          </w:p>
        </w:tc>
        <w:tc>
          <w:tcPr>
            <w:tcW w:w="1150" w:type="dxa"/>
          </w:tcPr>
          <w:p w:rsidR="00F31E29" w:rsidRPr="0066689E" w:rsidRDefault="00F31E29" w:rsidP="00F31E29">
            <w:pPr>
              <w:pStyle w:val="NoSpacing"/>
              <w:jc w:val="center"/>
              <w:rPr>
                <w:sz w:val="20"/>
                <w:szCs w:val="20"/>
              </w:rPr>
            </w:pPr>
            <w:r>
              <w:rPr>
                <w:sz w:val="20"/>
                <w:szCs w:val="20"/>
              </w:rPr>
              <w:t>37</w:t>
            </w:r>
          </w:p>
        </w:tc>
        <w:tc>
          <w:tcPr>
            <w:tcW w:w="1022" w:type="dxa"/>
            <w:gridSpan w:val="2"/>
          </w:tcPr>
          <w:p w:rsidR="00F31E29" w:rsidRPr="0066689E" w:rsidRDefault="00F31E29" w:rsidP="00E9401F">
            <w:pPr>
              <w:pStyle w:val="NoSpacing"/>
              <w:jc w:val="center"/>
              <w:rPr>
                <w:sz w:val="20"/>
                <w:szCs w:val="20"/>
              </w:rPr>
            </w:pPr>
            <w:r w:rsidRPr="0066689E">
              <w:rPr>
                <w:sz w:val="20"/>
                <w:szCs w:val="20"/>
              </w:rPr>
              <w:t>46%</w:t>
            </w:r>
          </w:p>
        </w:tc>
        <w:tc>
          <w:tcPr>
            <w:tcW w:w="688" w:type="dxa"/>
          </w:tcPr>
          <w:p w:rsidR="00F31E29" w:rsidRPr="0066689E" w:rsidRDefault="00F31E29" w:rsidP="00F31E29">
            <w:pPr>
              <w:pStyle w:val="NoSpacing"/>
              <w:jc w:val="center"/>
              <w:rPr>
                <w:sz w:val="20"/>
                <w:szCs w:val="20"/>
              </w:rPr>
            </w:pPr>
            <w:r>
              <w:rPr>
                <w:sz w:val="20"/>
                <w:szCs w:val="20"/>
              </w:rPr>
              <w:t>11</w:t>
            </w:r>
          </w:p>
        </w:tc>
        <w:tc>
          <w:tcPr>
            <w:tcW w:w="802" w:type="dxa"/>
          </w:tcPr>
          <w:p w:rsidR="00F31E29" w:rsidRPr="0066689E" w:rsidRDefault="00F31E29" w:rsidP="00E9401F">
            <w:pPr>
              <w:pStyle w:val="NoSpacing"/>
              <w:jc w:val="center"/>
              <w:rPr>
                <w:sz w:val="20"/>
                <w:szCs w:val="20"/>
              </w:rPr>
            </w:pPr>
            <w:r w:rsidRPr="0066689E">
              <w:rPr>
                <w:sz w:val="20"/>
                <w:szCs w:val="20"/>
              </w:rPr>
              <w:t>14%</w:t>
            </w:r>
          </w:p>
        </w:tc>
        <w:tc>
          <w:tcPr>
            <w:tcW w:w="818" w:type="dxa"/>
          </w:tcPr>
          <w:p w:rsidR="00F31E29" w:rsidRPr="0066689E" w:rsidRDefault="00F31E29" w:rsidP="00F31E29">
            <w:pPr>
              <w:pStyle w:val="NoSpacing"/>
              <w:jc w:val="center"/>
              <w:rPr>
                <w:sz w:val="20"/>
                <w:szCs w:val="20"/>
              </w:rPr>
            </w:pPr>
            <w:r>
              <w:rPr>
                <w:sz w:val="20"/>
                <w:szCs w:val="20"/>
              </w:rPr>
              <w:t>7</w:t>
            </w:r>
          </w:p>
        </w:tc>
        <w:tc>
          <w:tcPr>
            <w:tcW w:w="873" w:type="dxa"/>
          </w:tcPr>
          <w:p w:rsidR="00F31E29" w:rsidRPr="0066689E" w:rsidRDefault="00F31E29" w:rsidP="00E9401F">
            <w:pPr>
              <w:pStyle w:val="NoSpacing"/>
              <w:jc w:val="center"/>
              <w:rPr>
                <w:sz w:val="20"/>
                <w:szCs w:val="20"/>
              </w:rPr>
            </w:pPr>
            <w:r w:rsidRPr="0066689E">
              <w:rPr>
                <w:sz w:val="20"/>
                <w:szCs w:val="20"/>
              </w:rPr>
              <w:t>9%</w:t>
            </w:r>
          </w:p>
        </w:tc>
      </w:tr>
      <w:tr w:rsidR="00262FCB" w:rsidTr="00E9401F">
        <w:trPr>
          <w:trHeight w:val="630"/>
          <w:jc w:val="center"/>
        </w:trPr>
        <w:tc>
          <w:tcPr>
            <w:tcW w:w="4034" w:type="dxa"/>
          </w:tcPr>
          <w:p w:rsidR="00262FCB" w:rsidRDefault="00262FCB" w:rsidP="00E9401F">
            <w:pPr>
              <w:pStyle w:val="NoSpacing"/>
            </w:pPr>
            <w:r>
              <w:t>Please rate the effectiveness of assessment processes (SLO, PLO, and ILO) at Merritt College.</w:t>
            </w:r>
          </w:p>
        </w:tc>
        <w:tc>
          <w:tcPr>
            <w:tcW w:w="6893" w:type="dxa"/>
            <w:gridSpan w:val="9"/>
          </w:tcPr>
          <w:p w:rsidR="00262FCB" w:rsidRDefault="00262FCB" w:rsidP="00E9401F">
            <w:pPr>
              <w:pStyle w:val="NoSpacing"/>
              <w:jc w:val="center"/>
            </w:pPr>
            <w:r>
              <w:t>Average: 5.81</w:t>
            </w:r>
          </w:p>
        </w:tc>
      </w:tr>
    </w:tbl>
    <w:p w:rsidR="005577E8" w:rsidRDefault="005577E8" w:rsidP="00262FCB"/>
    <w:p w:rsidR="00146987" w:rsidRDefault="005577E8" w:rsidP="00262FCB">
      <w:r>
        <w:sym w:font="Wingdings" w:char="F04A"/>
      </w:r>
      <w:r>
        <w:t xml:space="preserve"> </w:t>
      </w:r>
      <w:r w:rsidR="00146987">
        <w:t xml:space="preserve">Few respondents didn’t </w:t>
      </w:r>
      <w:r w:rsidR="00373D7A">
        <w:t xml:space="preserve">know anything about the </w:t>
      </w:r>
      <w:proofErr w:type="gramStart"/>
      <w:r w:rsidR="00373D7A">
        <w:t>process</w:t>
      </w:r>
      <w:r w:rsidR="00B827DB">
        <w:t>(</w:t>
      </w:r>
      <w:proofErr w:type="gramEnd"/>
      <w:r w:rsidR="00B827DB">
        <w:t>5-10%  by question)</w:t>
      </w:r>
      <w:r w:rsidR="00373D7A">
        <w:t>. The majority of respondents indicated the department plans and prepares for assessment, as well as uses results to make improvements</w:t>
      </w:r>
      <w:r w:rsidR="00B827DB">
        <w:t xml:space="preserve"> most of the time</w:t>
      </w:r>
      <w:r w:rsidR="00373D7A">
        <w:t>.</w:t>
      </w:r>
    </w:p>
    <w:p w:rsidR="00373D7A" w:rsidRDefault="00373D7A" w:rsidP="00262FCB">
      <w:r>
        <w:sym w:font="Wingdings" w:char="F04A"/>
      </w:r>
      <w:r>
        <w:t xml:space="preserve"> </w:t>
      </w:r>
      <w:r w:rsidR="00146987">
        <w:t>Mean for effectiveness is 5.81, mode (most choices) is 6.</w:t>
      </w:r>
      <w:r>
        <w:t xml:space="preserve"> </w:t>
      </w:r>
      <w:proofErr w:type="gramStart"/>
      <w:r>
        <w:t>Highest effectiveness rating of all the College processes.</w:t>
      </w:r>
      <w:proofErr w:type="gramEnd"/>
    </w:p>
    <w:p w:rsidR="00146987" w:rsidRDefault="00373D7A" w:rsidP="00146987">
      <w:pPr>
        <w:pStyle w:val="ListParagraph"/>
        <w:numPr>
          <w:ilvl w:val="0"/>
          <w:numId w:val="1"/>
        </w:numPr>
      </w:pPr>
      <w:r>
        <w:t xml:space="preserve">Respondents who rated effectiveness as </w:t>
      </w:r>
      <w:r w:rsidRPr="00373D7A">
        <w:rPr>
          <w:b/>
          <w:u w:val="single"/>
        </w:rPr>
        <w:t xml:space="preserve">5 or </w:t>
      </w:r>
      <w:r w:rsidR="008A40E1">
        <w:rPr>
          <w:b/>
          <w:u w:val="single"/>
        </w:rPr>
        <w:t>lower</w:t>
      </w:r>
      <w:r>
        <w:t xml:space="preserve"> listed reasons related to</w:t>
      </w:r>
      <w:r w:rsidR="00146987">
        <w:t xml:space="preserve"> time, support, training, and feeling like assessment </w:t>
      </w:r>
      <w:proofErr w:type="gramStart"/>
      <w:r w:rsidR="00146987">
        <w:t>is</w:t>
      </w:r>
      <w:proofErr w:type="gramEnd"/>
      <w:r w:rsidR="00146987">
        <w:t xml:space="preserve"> </w:t>
      </w:r>
      <w:r>
        <w:t>meaningless, or not used.</w:t>
      </w:r>
    </w:p>
    <w:p w:rsidR="00B827DB" w:rsidRDefault="00373D7A" w:rsidP="00B827DB">
      <w:pPr>
        <w:pStyle w:val="ListParagraph"/>
        <w:numPr>
          <w:ilvl w:val="0"/>
          <w:numId w:val="1"/>
        </w:numPr>
      </w:pPr>
      <w:r>
        <w:t xml:space="preserve">Respondents who rated effectiveness as </w:t>
      </w:r>
      <w:r w:rsidR="00146987" w:rsidRPr="008A40E1">
        <w:rPr>
          <w:b/>
          <w:u w:val="single"/>
        </w:rPr>
        <w:t xml:space="preserve">6 or </w:t>
      </w:r>
      <w:r w:rsidRPr="008A40E1">
        <w:rPr>
          <w:b/>
          <w:u w:val="single"/>
        </w:rPr>
        <w:t>higher</w:t>
      </w:r>
      <w:r w:rsidR="00146987">
        <w:t xml:space="preserve"> were mostly based on </w:t>
      </w:r>
      <w:r w:rsidR="008A40E1">
        <w:t>the recent improvement the campus has made with assessment completion and process. Although not perfect or completely proficient, the respondents recognized the increased efforts, training and support they did receive.</w:t>
      </w:r>
      <w:r w:rsidR="00146987">
        <w:t xml:space="preserve"> </w:t>
      </w:r>
    </w:p>
    <w:p w:rsidR="00516555" w:rsidRDefault="00516555" w:rsidP="00516555">
      <w:pPr>
        <w:pStyle w:val="ListParagraph"/>
        <w:numPr>
          <w:ilvl w:val="0"/>
          <w:numId w:val="1"/>
        </w:numPr>
      </w:pPr>
      <w:r>
        <w:t>Some assessment processes may be working better or improving more than others. (SLO/SAO vs. PLO vs. ILO)</w:t>
      </w:r>
    </w:p>
    <w:p w:rsidR="00146987" w:rsidRDefault="005577E8" w:rsidP="00262FCB">
      <w:pPr>
        <w:pStyle w:val="Heading1"/>
      </w:pPr>
      <w:r>
        <w:t xml:space="preserve">Common </w:t>
      </w:r>
      <w:r w:rsidR="00262FCB">
        <w:t xml:space="preserve">Recommendations for </w:t>
      </w:r>
      <w:r w:rsidR="00146987" w:rsidRPr="00262FCB">
        <w:t>Improvements</w:t>
      </w:r>
      <w:r w:rsidR="00146987">
        <w:t>:</w:t>
      </w:r>
    </w:p>
    <w:p w:rsidR="00146987" w:rsidRDefault="00146987" w:rsidP="00146987">
      <w:pPr>
        <w:pStyle w:val="ListParagraph"/>
        <w:numPr>
          <w:ilvl w:val="0"/>
          <w:numId w:val="1"/>
        </w:numPr>
      </w:pPr>
      <w:r>
        <w:t>Communication</w:t>
      </w:r>
      <w:r w:rsidR="00373D7A">
        <w:t xml:space="preserve"> and dialogue</w:t>
      </w:r>
      <w:r>
        <w:t xml:space="preserve"> awareness/knowledge, support (activities and key persons), simplify, clarify and streamline, </w:t>
      </w:r>
      <w:r w:rsidR="00373D7A">
        <w:t xml:space="preserve">timelines </w:t>
      </w:r>
      <w:r>
        <w:t>embed into responsibilities</w:t>
      </w:r>
      <w:r w:rsidR="00B827DB">
        <w:t xml:space="preserve">/department meetings, </w:t>
      </w:r>
      <w:proofErr w:type="spellStart"/>
      <w:r w:rsidR="00B827DB">
        <w:t>T</w:t>
      </w:r>
      <w:r>
        <w:t>askstream</w:t>
      </w:r>
      <w:proofErr w:type="spellEnd"/>
      <w:r>
        <w:t>, follow good examples and</w:t>
      </w:r>
      <w:r w:rsidR="00262FCB">
        <w:t xml:space="preserve"> replicate, increased and wide-spread participation.</w:t>
      </w:r>
    </w:p>
    <w:p w:rsidR="008A40E1" w:rsidRDefault="00262FCB" w:rsidP="00262FCB">
      <w:pPr>
        <w:pStyle w:val="Heading1"/>
      </w:pPr>
      <w:r>
        <w:t>Recurring Themes</w:t>
      </w:r>
      <w:r w:rsidR="008A40E1">
        <w:t>:</w:t>
      </w:r>
    </w:p>
    <w:p w:rsidR="008A40E1" w:rsidRDefault="00262FCB" w:rsidP="008A40E1">
      <w:pPr>
        <w:pStyle w:val="ListParagraph"/>
        <w:numPr>
          <w:ilvl w:val="0"/>
          <w:numId w:val="1"/>
        </w:numPr>
      </w:pPr>
      <w:r>
        <w:t>T</w:t>
      </w:r>
      <w:r w:rsidR="008A40E1">
        <w:t>raining</w:t>
      </w:r>
    </w:p>
    <w:p w:rsidR="008A40E1" w:rsidRDefault="00262FCB" w:rsidP="00262FCB">
      <w:pPr>
        <w:pStyle w:val="ListParagraph"/>
        <w:numPr>
          <w:ilvl w:val="0"/>
          <w:numId w:val="1"/>
        </w:numPr>
      </w:pPr>
      <w:r>
        <w:t>C</w:t>
      </w:r>
      <w:r w:rsidR="008A40E1">
        <w:t>larity of process and timelines</w:t>
      </w:r>
    </w:p>
    <w:p w:rsidR="00262FCB" w:rsidRDefault="008A40E1" w:rsidP="00262FCB">
      <w:pPr>
        <w:pStyle w:val="ListParagraph"/>
        <w:numPr>
          <w:ilvl w:val="0"/>
          <w:numId w:val="1"/>
        </w:numPr>
      </w:pPr>
      <w:r>
        <w:lastRenderedPageBreak/>
        <w:t>Systematic dialogue from assessment planning through results</w:t>
      </w:r>
      <w:r w:rsidR="00B827DB">
        <w:t xml:space="preserve"> and use of assessment results</w:t>
      </w:r>
    </w:p>
    <w:p w:rsidR="000D54A5" w:rsidRDefault="00044A51" w:rsidP="00262FCB">
      <w:pPr>
        <w:pStyle w:val="Title"/>
      </w:pPr>
      <w:r>
        <w:t>Program Review</w:t>
      </w:r>
    </w:p>
    <w:tbl>
      <w:tblPr>
        <w:tblW w:w="10927"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4"/>
        <w:gridCol w:w="22"/>
        <w:gridCol w:w="778"/>
        <w:gridCol w:w="717"/>
        <w:gridCol w:w="23"/>
        <w:gridCol w:w="1060"/>
        <w:gridCol w:w="1112"/>
        <w:gridCol w:w="688"/>
        <w:gridCol w:w="789"/>
        <w:gridCol w:w="921"/>
        <w:gridCol w:w="783"/>
      </w:tblGrid>
      <w:tr w:rsidR="00262FCB" w:rsidRPr="004800BA" w:rsidTr="00E9401F">
        <w:trPr>
          <w:trHeight w:val="435"/>
          <w:jc w:val="center"/>
        </w:trPr>
        <w:tc>
          <w:tcPr>
            <w:tcW w:w="4056" w:type="dxa"/>
            <w:gridSpan w:val="2"/>
            <w:shd w:val="clear" w:color="auto" w:fill="BFBFBF" w:themeFill="background1" w:themeFillShade="BF"/>
          </w:tcPr>
          <w:p w:rsidR="00262FCB" w:rsidRPr="004800BA" w:rsidRDefault="00262FCB" w:rsidP="00E9401F">
            <w:pPr>
              <w:pStyle w:val="NoSpacing"/>
              <w:rPr>
                <w:b/>
              </w:rPr>
            </w:pPr>
            <w:r w:rsidRPr="004800BA">
              <w:rPr>
                <w:b/>
              </w:rPr>
              <w:t>Program Review Process</w:t>
            </w:r>
          </w:p>
        </w:tc>
        <w:tc>
          <w:tcPr>
            <w:tcW w:w="1495" w:type="dxa"/>
            <w:gridSpan w:val="2"/>
            <w:shd w:val="clear" w:color="auto" w:fill="BFBFBF" w:themeFill="background1" w:themeFillShade="BF"/>
          </w:tcPr>
          <w:p w:rsidR="00262FCB" w:rsidRPr="004800BA" w:rsidRDefault="00262FCB" w:rsidP="00E9401F">
            <w:pPr>
              <w:pStyle w:val="NoSpacing"/>
              <w:rPr>
                <w:b/>
              </w:rPr>
            </w:pPr>
            <w:r>
              <w:rPr>
                <w:b/>
              </w:rPr>
              <w:t>Always/Most of the Time</w:t>
            </w:r>
          </w:p>
        </w:tc>
        <w:tc>
          <w:tcPr>
            <w:tcW w:w="2195" w:type="dxa"/>
            <w:gridSpan w:val="3"/>
            <w:shd w:val="clear" w:color="auto" w:fill="BFBFBF" w:themeFill="background1" w:themeFillShade="BF"/>
          </w:tcPr>
          <w:p w:rsidR="00262FCB" w:rsidRPr="004800BA" w:rsidRDefault="00262FCB" w:rsidP="00E9401F">
            <w:pPr>
              <w:pStyle w:val="NoSpacing"/>
              <w:rPr>
                <w:b/>
              </w:rPr>
            </w:pPr>
            <w:r>
              <w:rPr>
                <w:b/>
              </w:rPr>
              <w:t>Occasionally/Some of the Time</w:t>
            </w:r>
          </w:p>
        </w:tc>
        <w:tc>
          <w:tcPr>
            <w:tcW w:w="1477" w:type="dxa"/>
            <w:gridSpan w:val="2"/>
            <w:shd w:val="clear" w:color="auto" w:fill="BFBFBF" w:themeFill="background1" w:themeFillShade="BF"/>
          </w:tcPr>
          <w:p w:rsidR="00262FCB" w:rsidRPr="004800BA" w:rsidRDefault="00262FCB" w:rsidP="00E9401F">
            <w:pPr>
              <w:pStyle w:val="NoSpacing"/>
              <w:rPr>
                <w:b/>
              </w:rPr>
            </w:pPr>
            <w:r>
              <w:rPr>
                <w:b/>
              </w:rPr>
              <w:t>Rarely/Never</w:t>
            </w:r>
          </w:p>
        </w:tc>
        <w:tc>
          <w:tcPr>
            <w:tcW w:w="1704" w:type="dxa"/>
            <w:gridSpan w:val="2"/>
            <w:shd w:val="clear" w:color="auto" w:fill="BFBFBF" w:themeFill="background1" w:themeFillShade="BF"/>
          </w:tcPr>
          <w:p w:rsidR="00262FCB" w:rsidRPr="004800BA" w:rsidRDefault="00262FCB" w:rsidP="00E9401F">
            <w:pPr>
              <w:pStyle w:val="NoSpacing"/>
              <w:rPr>
                <w:b/>
              </w:rPr>
            </w:pPr>
            <w:r>
              <w:rPr>
                <w:b/>
              </w:rPr>
              <w:t>I don’t know.</w:t>
            </w:r>
          </w:p>
        </w:tc>
      </w:tr>
      <w:tr w:rsidR="00F31E29" w:rsidRPr="0066689E" w:rsidTr="00F31E29">
        <w:trPr>
          <w:trHeight w:val="647"/>
          <w:jc w:val="center"/>
        </w:trPr>
        <w:tc>
          <w:tcPr>
            <w:tcW w:w="4034" w:type="dxa"/>
          </w:tcPr>
          <w:p w:rsidR="00F31E29" w:rsidRDefault="00F31E29" w:rsidP="00E9401F">
            <w:pPr>
              <w:pStyle w:val="NoSpacing"/>
            </w:pPr>
            <w:r>
              <w:t>Program Review is data-driven and includes analysis of institutional and learning outcome assessment data.</w:t>
            </w:r>
          </w:p>
        </w:tc>
        <w:tc>
          <w:tcPr>
            <w:tcW w:w="800" w:type="dxa"/>
            <w:gridSpan w:val="2"/>
          </w:tcPr>
          <w:p w:rsidR="00F31E29" w:rsidRPr="0066689E" w:rsidRDefault="00F31E29" w:rsidP="00F31E29">
            <w:pPr>
              <w:pStyle w:val="NoSpacing"/>
              <w:jc w:val="center"/>
              <w:rPr>
                <w:sz w:val="20"/>
                <w:szCs w:val="20"/>
              </w:rPr>
            </w:pPr>
            <w:r>
              <w:rPr>
                <w:sz w:val="20"/>
                <w:szCs w:val="20"/>
              </w:rPr>
              <w:t>32</w:t>
            </w:r>
          </w:p>
        </w:tc>
        <w:tc>
          <w:tcPr>
            <w:tcW w:w="740" w:type="dxa"/>
            <w:gridSpan w:val="2"/>
          </w:tcPr>
          <w:p w:rsidR="00F31E29" w:rsidRPr="0066689E" w:rsidRDefault="00F31E29" w:rsidP="00E9401F">
            <w:pPr>
              <w:pStyle w:val="NoSpacing"/>
              <w:jc w:val="center"/>
              <w:rPr>
                <w:sz w:val="20"/>
                <w:szCs w:val="20"/>
              </w:rPr>
            </w:pPr>
            <w:r w:rsidRPr="0066689E">
              <w:rPr>
                <w:sz w:val="20"/>
                <w:szCs w:val="20"/>
              </w:rPr>
              <w:t>42%</w:t>
            </w:r>
          </w:p>
        </w:tc>
        <w:tc>
          <w:tcPr>
            <w:tcW w:w="1060" w:type="dxa"/>
          </w:tcPr>
          <w:p w:rsidR="00F31E29" w:rsidRPr="0066689E" w:rsidRDefault="00F31E29" w:rsidP="00F31E29">
            <w:pPr>
              <w:pStyle w:val="NoSpacing"/>
              <w:jc w:val="center"/>
              <w:rPr>
                <w:sz w:val="20"/>
                <w:szCs w:val="20"/>
              </w:rPr>
            </w:pPr>
            <w:r>
              <w:rPr>
                <w:sz w:val="20"/>
                <w:szCs w:val="20"/>
              </w:rPr>
              <w:t>24</w:t>
            </w:r>
          </w:p>
        </w:tc>
        <w:tc>
          <w:tcPr>
            <w:tcW w:w="1112" w:type="dxa"/>
          </w:tcPr>
          <w:p w:rsidR="00F31E29" w:rsidRPr="0066689E" w:rsidRDefault="00F31E29" w:rsidP="00E9401F">
            <w:pPr>
              <w:pStyle w:val="NoSpacing"/>
              <w:jc w:val="center"/>
              <w:rPr>
                <w:sz w:val="20"/>
                <w:szCs w:val="20"/>
              </w:rPr>
            </w:pPr>
            <w:r w:rsidRPr="0066689E">
              <w:rPr>
                <w:sz w:val="20"/>
                <w:szCs w:val="20"/>
              </w:rPr>
              <w:t>31%</w:t>
            </w:r>
          </w:p>
        </w:tc>
        <w:tc>
          <w:tcPr>
            <w:tcW w:w="688" w:type="dxa"/>
          </w:tcPr>
          <w:p w:rsidR="00F31E29" w:rsidRPr="0066689E" w:rsidRDefault="00F31E29" w:rsidP="00F31E29">
            <w:pPr>
              <w:pStyle w:val="NoSpacing"/>
              <w:jc w:val="center"/>
              <w:rPr>
                <w:sz w:val="20"/>
                <w:szCs w:val="20"/>
              </w:rPr>
            </w:pPr>
            <w:r>
              <w:rPr>
                <w:sz w:val="20"/>
                <w:szCs w:val="20"/>
              </w:rPr>
              <w:t>7</w:t>
            </w:r>
          </w:p>
        </w:tc>
        <w:tc>
          <w:tcPr>
            <w:tcW w:w="789" w:type="dxa"/>
          </w:tcPr>
          <w:p w:rsidR="00F31E29" w:rsidRPr="0066689E" w:rsidRDefault="00F31E29" w:rsidP="00E9401F">
            <w:pPr>
              <w:pStyle w:val="NoSpacing"/>
              <w:jc w:val="center"/>
              <w:rPr>
                <w:sz w:val="20"/>
                <w:szCs w:val="20"/>
              </w:rPr>
            </w:pPr>
            <w:r w:rsidRPr="0066689E">
              <w:rPr>
                <w:sz w:val="20"/>
                <w:szCs w:val="20"/>
              </w:rPr>
              <w:t>9%</w:t>
            </w:r>
          </w:p>
        </w:tc>
        <w:tc>
          <w:tcPr>
            <w:tcW w:w="921" w:type="dxa"/>
          </w:tcPr>
          <w:p w:rsidR="00F31E29" w:rsidRPr="0066689E" w:rsidRDefault="00F31E29" w:rsidP="00F31E29">
            <w:pPr>
              <w:pStyle w:val="NoSpacing"/>
              <w:jc w:val="center"/>
              <w:rPr>
                <w:sz w:val="20"/>
                <w:szCs w:val="20"/>
              </w:rPr>
            </w:pPr>
            <w:r>
              <w:rPr>
                <w:sz w:val="20"/>
                <w:szCs w:val="20"/>
              </w:rPr>
              <w:t>14</w:t>
            </w:r>
          </w:p>
        </w:tc>
        <w:tc>
          <w:tcPr>
            <w:tcW w:w="783" w:type="dxa"/>
          </w:tcPr>
          <w:p w:rsidR="00F31E29" w:rsidRPr="0066689E" w:rsidRDefault="00F31E29" w:rsidP="00E9401F">
            <w:pPr>
              <w:pStyle w:val="NoSpacing"/>
              <w:jc w:val="center"/>
              <w:rPr>
                <w:sz w:val="20"/>
                <w:szCs w:val="20"/>
              </w:rPr>
            </w:pPr>
            <w:r w:rsidRPr="0066689E">
              <w:rPr>
                <w:sz w:val="20"/>
                <w:szCs w:val="20"/>
              </w:rPr>
              <w:t>18%</w:t>
            </w:r>
          </w:p>
        </w:tc>
      </w:tr>
      <w:tr w:rsidR="00F31E29" w:rsidRPr="0066689E" w:rsidTr="00F31E29">
        <w:trPr>
          <w:trHeight w:val="465"/>
          <w:jc w:val="center"/>
        </w:trPr>
        <w:tc>
          <w:tcPr>
            <w:tcW w:w="4034" w:type="dxa"/>
          </w:tcPr>
          <w:p w:rsidR="00F31E29" w:rsidRDefault="00F31E29" w:rsidP="00E9401F">
            <w:pPr>
              <w:pStyle w:val="NoSpacing"/>
            </w:pPr>
            <w:r>
              <w:t>My department or unit makes improvements based on results of program review.</w:t>
            </w:r>
          </w:p>
        </w:tc>
        <w:tc>
          <w:tcPr>
            <w:tcW w:w="800" w:type="dxa"/>
            <w:gridSpan w:val="2"/>
          </w:tcPr>
          <w:p w:rsidR="00F31E29" w:rsidRPr="0066689E" w:rsidRDefault="00F31E29" w:rsidP="00F31E29">
            <w:pPr>
              <w:pStyle w:val="NoSpacing"/>
              <w:jc w:val="center"/>
              <w:rPr>
                <w:sz w:val="20"/>
                <w:szCs w:val="20"/>
              </w:rPr>
            </w:pPr>
            <w:r>
              <w:rPr>
                <w:sz w:val="20"/>
                <w:szCs w:val="20"/>
              </w:rPr>
              <w:t>28</w:t>
            </w:r>
          </w:p>
        </w:tc>
        <w:tc>
          <w:tcPr>
            <w:tcW w:w="740" w:type="dxa"/>
            <w:gridSpan w:val="2"/>
          </w:tcPr>
          <w:p w:rsidR="00F31E29" w:rsidRPr="0066689E" w:rsidRDefault="00F31E29" w:rsidP="00E9401F">
            <w:pPr>
              <w:pStyle w:val="NoSpacing"/>
              <w:jc w:val="center"/>
              <w:rPr>
                <w:sz w:val="20"/>
                <w:szCs w:val="20"/>
              </w:rPr>
            </w:pPr>
            <w:r w:rsidRPr="0066689E">
              <w:rPr>
                <w:sz w:val="20"/>
                <w:szCs w:val="20"/>
              </w:rPr>
              <w:t>36%</w:t>
            </w:r>
          </w:p>
        </w:tc>
        <w:tc>
          <w:tcPr>
            <w:tcW w:w="1060" w:type="dxa"/>
          </w:tcPr>
          <w:p w:rsidR="00F31E29" w:rsidRPr="0066689E" w:rsidRDefault="00F31E29" w:rsidP="00F31E29">
            <w:pPr>
              <w:pStyle w:val="NoSpacing"/>
              <w:jc w:val="center"/>
              <w:rPr>
                <w:sz w:val="20"/>
                <w:szCs w:val="20"/>
              </w:rPr>
            </w:pPr>
            <w:r>
              <w:rPr>
                <w:sz w:val="20"/>
                <w:szCs w:val="20"/>
              </w:rPr>
              <w:t>29</w:t>
            </w:r>
          </w:p>
        </w:tc>
        <w:tc>
          <w:tcPr>
            <w:tcW w:w="1112" w:type="dxa"/>
          </w:tcPr>
          <w:p w:rsidR="00F31E29" w:rsidRPr="0066689E" w:rsidRDefault="00F31E29" w:rsidP="00E9401F">
            <w:pPr>
              <w:pStyle w:val="NoSpacing"/>
              <w:jc w:val="center"/>
              <w:rPr>
                <w:sz w:val="20"/>
                <w:szCs w:val="20"/>
              </w:rPr>
            </w:pPr>
            <w:r w:rsidRPr="0066689E">
              <w:rPr>
                <w:sz w:val="20"/>
                <w:szCs w:val="20"/>
              </w:rPr>
              <w:t>38%</w:t>
            </w:r>
          </w:p>
        </w:tc>
        <w:tc>
          <w:tcPr>
            <w:tcW w:w="688" w:type="dxa"/>
          </w:tcPr>
          <w:p w:rsidR="00F31E29" w:rsidRPr="0066689E" w:rsidRDefault="00F31E29" w:rsidP="00F31E29">
            <w:pPr>
              <w:pStyle w:val="NoSpacing"/>
              <w:jc w:val="center"/>
              <w:rPr>
                <w:sz w:val="20"/>
                <w:szCs w:val="20"/>
              </w:rPr>
            </w:pPr>
            <w:r>
              <w:rPr>
                <w:sz w:val="20"/>
                <w:szCs w:val="20"/>
              </w:rPr>
              <w:t>11</w:t>
            </w:r>
          </w:p>
        </w:tc>
        <w:tc>
          <w:tcPr>
            <w:tcW w:w="789" w:type="dxa"/>
          </w:tcPr>
          <w:p w:rsidR="00F31E29" w:rsidRPr="0066689E" w:rsidRDefault="00F31E29" w:rsidP="00E9401F">
            <w:pPr>
              <w:pStyle w:val="NoSpacing"/>
              <w:jc w:val="center"/>
              <w:rPr>
                <w:sz w:val="20"/>
                <w:szCs w:val="20"/>
              </w:rPr>
            </w:pPr>
            <w:r w:rsidRPr="0066689E">
              <w:rPr>
                <w:sz w:val="20"/>
                <w:szCs w:val="20"/>
              </w:rPr>
              <w:t>14%</w:t>
            </w:r>
          </w:p>
        </w:tc>
        <w:tc>
          <w:tcPr>
            <w:tcW w:w="921" w:type="dxa"/>
          </w:tcPr>
          <w:p w:rsidR="00F31E29" w:rsidRPr="0066689E" w:rsidRDefault="00F31E29" w:rsidP="00F31E29">
            <w:pPr>
              <w:pStyle w:val="NoSpacing"/>
              <w:jc w:val="center"/>
              <w:rPr>
                <w:sz w:val="20"/>
                <w:szCs w:val="20"/>
              </w:rPr>
            </w:pPr>
            <w:r>
              <w:rPr>
                <w:sz w:val="20"/>
                <w:szCs w:val="20"/>
              </w:rPr>
              <w:t>9</w:t>
            </w:r>
          </w:p>
        </w:tc>
        <w:tc>
          <w:tcPr>
            <w:tcW w:w="783" w:type="dxa"/>
          </w:tcPr>
          <w:p w:rsidR="00F31E29" w:rsidRPr="0066689E" w:rsidRDefault="00F31E29" w:rsidP="00E9401F">
            <w:pPr>
              <w:pStyle w:val="NoSpacing"/>
              <w:jc w:val="center"/>
              <w:rPr>
                <w:sz w:val="20"/>
                <w:szCs w:val="20"/>
              </w:rPr>
            </w:pPr>
            <w:r w:rsidRPr="0066689E">
              <w:rPr>
                <w:sz w:val="20"/>
                <w:szCs w:val="20"/>
              </w:rPr>
              <w:t>12%</w:t>
            </w:r>
          </w:p>
        </w:tc>
      </w:tr>
      <w:tr w:rsidR="00F31E29" w:rsidRPr="0066689E" w:rsidTr="00F31E29">
        <w:trPr>
          <w:trHeight w:val="335"/>
          <w:jc w:val="center"/>
        </w:trPr>
        <w:tc>
          <w:tcPr>
            <w:tcW w:w="4034" w:type="dxa"/>
          </w:tcPr>
          <w:p w:rsidR="00F31E29" w:rsidRDefault="00F31E29" w:rsidP="00E9401F">
            <w:pPr>
              <w:pStyle w:val="NoSpacing"/>
            </w:pPr>
            <w:r>
              <w:t>My department or unit requests new resources based on results of program review.</w:t>
            </w:r>
          </w:p>
        </w:tc>
        <w:tc>
          <w:tcPr>
            <w:tcW w:w="800" w:type="dxa"/>
            <w:gridSpan w:val="2"/>
          </w:tcPr>
          <w:p w:rsidR="00F31E29" w:rsidRPr="0066689E" w:rsidRDefault="00F31E29" w:rsidP="00F31E29">
            <w:pPr>
              <w:pStyle w:val="NoSpacing"/>
              <w:jc w:val="center"/>
              <w:rPr>
                <w:sz w:val="20"/>
                <w:szCs w:val="20"/>
              </w:rPr>
            </w:pPr>
            <w:r>
              <w:rPr>
                <w:sz w:val="20"/>
                <w:szCs w:val="20"/>
              </w:rPr>
              <w:t>36</w:t>
            </w:r>
          </w:p>
        </w:tc>
        <w:tc>
          <w:tcPr>
            <w:tcW w:w="740" w:type="dxa"/>
            <w:gridSpan w:val="2"/>
          </w:tcPr>
          <w:p w:rsidR="00F31E29" w:rsidRPr="0066689E" w:rsidRDefault="00F31E29" w:rsidP="00E9401F">
            <w:pPr>
              <w:pStyle w:val="NoSpacing"/>
              <w:jc w:val="center"/>
              <w:rPr>
                <w:sz w:val="20"/>
                <w:szCs w:val="20"/>
              </w:rPr>
            </w:pPr>
            <w:r w:rsidRPr="0066689E">
              <w:rPr>
                <w:sz w:val="20"/>
                <w:szCs w:val="20"/>
              </w:rPr>
              <w:t>47%</w:t>
            </w:r>
          </w:p>
        </w:tc>
        <w:tc>
          <w:tcPr>
            <w:tcW w:w="1060" w:type="dxa"/>
          </w:tcPr>
          <w:p w:rsidR="00F31E29" w:rsidRPr="0066689E" w:rsidRDefault="00F31E29" w:rsidP="00F31E29">
            <w:pPr>
              <w:pStyle w:val="NoSpacing"/>
              <w:jc w:val="center"/>
              <w:rPr>
                <w:sz w:val="20"/>
                <w:szCs w:val="20"/>
              </w:rPr>
            </w:pPr>
            <w:r>
              <w:rPr>
                <w:sz w:val="20"/>
                <w:szCs w:val="20"/>
              </w:rPr>
              <w:t>21</w:t>
            </w:r>
          </w:p>
        </w:tc>
        <w:tc>
          <w:tcPr>
            <w:tcW w:w="1112" w:type="dxa"/>
          </w:tcPr>
          <w:p w:rsidR="00F31E29" w:rsidRPr="0066689E" w:rsidRDefault="00F31E29" w:rsidP="00E9401F">
            <w:pPr>
              <w:pStyle w:val="NoSpacing"/>
              <w:jc w:val="center"/>
              <w:rPr>
                <w:sz w:val="20"/>
                <w:szCs w:val="20"/>
              </w:rPr>
            </w:pPr>
            <w:r w:rsidRPr="0066689E">
              <w:rPr>
                <w:sz w:val="20"/>
                <w:szCs w:val="20"/>
              </w:rPr>
              <w:t>28%</w:t>
            </w:r>
          </w:p>
        </w:tc>
        <w:tc>
          <w:tcPr>
            <w:tcW w:w="688" w:type="dxa"/>
          </w:tcPr>
          <w:p w:rsidR="00F31E29" w:rsidRPr="0066689E" w:rsidRDefault="00F31E29" w:rsidP="00F31E29">
            <w:pPr>
              <w:pStyle w:val="NoSpacing"/>
              <w:jc w:val="center"/>
              <w:rPr>
                <w:sz w:val="20"/>
                <w:szCs w:val="20"/>
              </w:rPr>
            </w:pPr>
            <w:r>
              <w:rPr>
                <w:sz w:val="20"/>
                <w:szCs w:val="20"/>
              </w:rPr>
              <w:t>8</w:t>
            </w:r>
          </w:p>
        </w:tc>
        <w:tc>
          <w:tcPr>
            <w:tcW w:w="789" w:type="dxa"/>
          </w:tcPr>
          <w:p w:rsidR="00F31E29" w:rsidRPr="0066689E" w:rsidRDefault="00F31E29" w:rsidP="00E9401F">
            <w:pPr>
              <w:pStyle w:val="NoSpacing"/>
              <w:jc w:val="center"/>
              <w:rPr>
                <w:sz w:val="20"/>
                <w:szCs w:val="20"/>
              </w:rPr>
            </w:pPr>
            <w:r w:rsidRPr="0066689E">
              <w:rPr>
                <w:sz w:val="20"/>
                <w:szCs w:val="20"/>
              </w:rPr>
              <w:t>11%</w:t>
            </w:r>
          </w:p>
        </w:tc>
        <w:tc>
          <w:tcPr>
            <w:tcW w:w="921" w:type="dxa"/>
          </w:tcPr>
          <w:p w:rsidR="00F31E29" w:rsidRPr="0066689E" w:rsidRDefault="00F31E29" w:rsidP="00F31E29">
            <w:pPr>
              <w:pStyle w:val="NoSpacing"/>
              <w:jc w:val="center"/>
              <w:rPr>
                <w:sz w:val="20"/>
                <w:szCs w:val="20"/>
              </w:rPr>
            </w:pPr>
            <w:r>
              <w:rPr>
                <w:sz w:val="20"/>
                <w:szCs w:val="20"/>
              </w:rPr>
              <w:t>11</w:t>
            </w:r>
          </w:p>
        </w:tc>
        <w:tc>
          <w:tcPr>
            <w:tcW w:w="783" w:type="dxa"/>
          </w:tcPr>
          <w:p w:rsidR="00F31E29" w:rsidRPr="0066689E" w:rsidRDefault="00F31E29" w:rsidP="00E9401F">
            <w:pPr>
              <w:pStyle w:val="NoSpacing"/>
              <w:jc w:val="center"/>
              <w:rPr>
                <w:sz w:val="20"/>
                <w:szCs w:val="20"/>
              </w:rPr>
            </w:pPr>
            <w:r w:rsidRPr="0066689E">
              <w:rPr>
                <w:sz w:val="20"/>
                <w:szCs w:val="20"/>
              </w:rPr>
              <w:t>15%</w:t>
            </w:r>
          </w:p>
        </w:tc>
      </w:tr>
      <w:tr w:rsidR="00F31E29" w:rsidRPr="0066689E" w:rsidTr="00F31E29">
        <w:trPr>
          <w:trHeight w:val="683"/>
          <w:jc w:val="center"/>
        </w:trPr>
        <w:tc>
          <w:tcPr>
            <w:tcW w:w="4034" w:type="dxa"/>
          </w:tcPr>
          <w:p w:rsidR="00F31E29" w:rsidRDefault="00F31E29" w:rsidP="00E9401F">
            <w:pPr>
              <w:pStyle w:val="NoSpacing"/>
            </w:pPr>
            <w:r>
              <w:t>Overall, program review drives improvement in student learning and achievement at Merritt College.</w:t>
            </w:r>
          </w:p>
        </w:tc>
        <w:tc>
          <w:tcPr>
            <w:tcW w:w="800" w:type="dxa"/>
            <w:gridSpan w:val="2"/>
          </w:tcPr>
          <w:p w:rsidR="00F31E29" w:rsidRPr="0066689E" w:rsidRDefault="00F31E29" w:rsidP="00F31E29">
            <w:pPr>
              <w:pStyle w:val="NoSpacing"/>
              <w:jc w:val="center"/>
              <w:rPr>
                <w:sz w:val="20"/>
                <w:szCs w:val="20"/>
              </w:rPr>
            </w:pPr>
            <w:r>
              <w:rPr>
                <w:sz w:val="20"/>
                <w:szCs w:val="20"/>
              </w:rPr>
              <w:t>27</w:t>
            </w:r>
          </w:p>
        </w:tc>
        <w:tc>
          <w:tcPr>
            <w:tcW w:w="740" w:type="dxa"/>
            <w:gridSpan w:val="2"/>
          </w:tcPr>
          <w:p w:rsidR="00F31E29" w:rsidRPr="0066689E" w:rsidRDefault="00F31E29" w:rsidP="00E9401F">
            <w:pPr>
              <w:pStyle w:val="NoSpacing"/>
              <w:jc w:val="center"/>
              <w:rPr>
                <w:sz w:val="20"/>
                <w:szCs w:val="20"/>
              </w:rPr>
            </w:pPr>
            <w:r w:rsidRPr="0066689E">
              <w:rPr>
                <w:sz w:val="20"/>
                <w:szCs w:val="20"/>
              </w:rPr>
              <w:t>35%</w:t>
            </w:r>
          </w:p>
        </w:tc>
        <w:tc>
          <w:tcPr>
            <w:tcW w:w="1060" w:type="dxa"/>
          </w:tcPr>
          <w:p w:rsidR="00F31E29" w:rsidRPr="0066689E" w:rsidRDefault="00F31E29" w:rsidP="00F31E29">
            <w:pPr>
              <w:pStyle w:val="NoSpacing"/>
              <w:jc w:val="center"/>
              <w:rPr>
                <w:sz w:val="20"/>
                <w:szCs w:val="20"/>
              </w:rPr>
            </w:pPr>
            <w:r>
              <w:rPr>
                <w:sz w:val="20"/>
                <w:szCs w:val="20"/>
              </w:rPr>
              <w:t>22</w:t>
            </w:r>
          </w:p>
        </w:tc>
        <w:tc>
          <w:tcPr>
            <w:tcW w:w="1112" w:type="dxa"/>
          </w:tcPr>
          <w:p w:rsidR="00F31E29" w:rsidRPr="0066689E" w:rsidRDefault="00F31E29" w:rsidP="00E9401F">
            <w:pPr>
              <w:pStyle w:val="NoSpacing"/>
              <w:jc w:val="center"/>
              <w:rPr>
                <w:sz w:val="20"/>
                <w:szCs w:val="20"/>
              </w:rPr>
            </w:pPr>
            <w:r w:rsidRPr="0066689E">
              <w:rPr>
                <w:sz w:val="20"/>
                <w:szCs w:val="20"/>
              </w:rPr>
              <w:t>29%</w:t>
            </w:r>
          </w:p>
        </w:tc>
        <w:tc>
          <w:tcPr>
            <w:tcW w:w="688" w:type="dxa"/>
          </w:tcPr>
          <w:p w:rsidR="00F31E29" w:rsidRPr="0066689E" w:rsidRDefault="00F31E29" w:rsidP="00F31E29">
            <w:pPr>
              <w:pStyle w:val="NoSpacing"/>
              <w:jc w:val="center"/>
              <w:rPr>
                <w:sz w:val="20"/>
                <w:szCs w:val="20"/>
              </w:rPr>
            </w:pPr>
            <w:r>
              <w:rPr>
                <w:sz w:val="20"/>
                <w:szCs w:val="20"/>
              </w:rPr>
              <w:t>13</w:t>
            </w:r>
          </w:p>
        </w:tc>
        <w:tc>
          <w:tcPr>
            <w:tcW w:w="789" w:type="dxa"/>
          </w:tcPr>
          <w:p w:rsidR="00F31E29" w:rsidRPr="0066689E" w:rsidRDefault="00F31E29" w:rsidP="00E9401F">
            <w:pPr>
              <w:pStyle w:val="NoSpacing"/>
              <w:jc w:val="center"/>
              <w:rPr>
                <w:sz w:val="20"/>
                <w:szCs w:val="20"/>
              </w:rPr>
            </w:pPr>
            <w:r w:rsidRPr="0066689E">
              <w:rPr>
                <w:sz w:val="20"/>
                <w:szCs w:val="20"/>
              </w:rPr>
              <w:t>17%</w:t>
            </w:r>
          </w:p>
        </w:tc>
        <w:tc>
          <w:tcPr>
            <w:tcW w:w="921" w:type="dxa"/>
          </w:tcPr>
          <w:p w:rsidR="00F31E29" w:rsidRPr="0066689E" w:rsidRDefault="00F31E29" w:rsidP="00F31E29">
            <w:pPr>
              <w:pStyle w:val="NoSpacing"/>
              <w:jc w:val="center"/>
              <w:rPr>
                <w:sz w:val="20"/>
                <w:szCs w:val="20"/>
              </w:rPr>
            </w:pPr>
            <w:r>
              <w:rPr>
                <w:sz w:val="20"/>
                <w:szCs w:val="20"/>
              </w:rPr>
              <w:t>15</w:t>
            </w:r>
          </w:p>
        </w:tc>
        <w:tc>
          <w:tcPr>
            <w:tcW w:w="783" w:type="dxa"/>
          </w:tcPr>
          <w:p w:rsidR="00F31E29" w:rsidRPr="0066689E" w:rsidRDefault="00F31E29" w:rsidP="00E9401F">
            <w:pPr>
              <w:pStyle w:val="NoSpacing"/>
              <w:jc w:val="center"/>
              <w:rPr>
                <w:sz w:val="20"/>
                <w:szCs w:val="20"/>
              </w:rPr>
            </w:pPr>
            <w:r w:rsidRPr="0066689E">
              <w:rPr>
                <w:sz w:val="20"/>
                <w:szCs w:val="20"/>
              </w:rPr>
              <w:t>20%</w:t>
            </w:r>
          </w:p>
        </w:tc>
      </w:tr>
      <w:tr w:rsidR="00262FCB" w:rsidTr="00E9401F">
        <w:trPr>
          <w:trHeight w:val="647"/>
          <w:jc w:val="center"/>
        </w:trPr>
        <w:tc>
          <w:tcPr>
            <w:tcW w:w="4034" w:type="dxa"/>
          </w:tcPr>
          <w:p w:rsidR="00262FCB" w:rsidRDefault="00262FCB" w:rsidP="00E9401F">
            <w:pPr>
              <w:pStyle w:val="NoSpacing"/>
            </w:pPr>
            <w:r>
              <w:t>Please rate the effectiveness of the Program Review process at Merritt College.</w:t>
            </w:r>
          </w:p>
        </w:tc>
        <w:tc>
          <w:tcPr>
            <w:tcW w:w="6893" w:type="dxa"/>
            <w:gridSpan w:val="10"/>
          </w:tcPr>
          <w:p w:rsidR="00262FCB" w:rsidRDefault="00262FCB" w:rsidP="00E9401F">
            <w:pPr>
              <w:pStyle w:val="NoSpacing"/>
              <w:jc w:val="center"/>
            </w:pPr>
            <w:r>
              <w:t>5.61</w:t>
            </w:r>
          </w:p>
        </w:tc>
      </w:tr>
    </w:tbl>
    <w:p w:rsidR="00262FCB" w:rsidRPr="00262FCB" w:rsidRDefault="00262FCB" w:rsidP="00262FCB"/>
    <w:p w:rsidR="00B827DB" w:rsidRDefault="00B827DB" w:rsidP="000D54A5">
      <w:r>
        <w:sym w:font="Wingdings" w:char="F04A"/>
      </w:r>
      <w:r>
        <w:t xml:space="preserve"> The majority of respondents felt that program review is data-driven and new resource requests are linked to program review results.</w:t>
      </w:r>
    </w:p>
    <w:p w:rsidR="00B827DB" w:rsidRDefault="005577E8" w:rsidP="00B827DB">
      <w:pPr>
        <w:pStyle w:val="ListParagraph"/>
        <w:numPr>
          <w:ilvl w:val="0"/>
          <w:numId w:val="2"/>
        </w:numPr>
      </w:pPr>
      <w:r>
        <w:t xml:space="preserve">There seems to be </w:t>
      </w:r>
      <w:proofErr w:type="gramStart"/>
      <w:r w:rsidR="00B827DB">
        <w:t>disconnect</w:t>
      </w:r>
      <w:proofErr w:type="gramEnd"/>
      <w:r w:rsidR="00B827DB">
        <w:t xml:space="preserve"> between assessment processes and program review, with more of the campus less aware of the program review process (12-20% by question). The mean and mode rating for effectiveness is lower than assessment, 5.61 and 5.0 respectively, even though the processes are related.</w:t>
      </w:r>
    </w:p>
    <w:p w:rsidR="00B827DB" w:rsidRDefault="00221930" w:rsidP="00B827DB">
      <w:pPr>
        <w:pStyle w:val="ListParagraph"/>
        <w:numPr>
          <w:ilvl w:val="0"/>
          <w:numId w:val="2"/>
        </w:numPr>
      </w:pPr>
      <w:r>
        <w:t>Of those rating program review effective</w:t>
      </w:r>
      <w:r w:rsidR="00ED1083">
        <w:t>nes</w:t>
      </w:r>
      <w:r>
        <w:t xml:space="preserve">s from </w:t>
      </w:r>
      <w:r w:rsidR="00B827DB">
        <w:t>1-5</w:t>
      </w:r>
      <w:r>
        <w:t>, the reasons listed for the rating were similar to</w:t>
      </w:r>
      <w:r w:rsidR="00ED1083">
        <w:t xml:space="preserve"> assessment;</w:t>
      </w:r>
      <w:r>
        <w:t xml:space="preserve"> </w:t>
      </w:r>
      <w:r w:rsidR="00B827DB">
        <w:t xml:space="preserve">training, guidance and support, </w:t>
      </w:r>
      <w:r w:rsidR="00ED1083">
        <w:t>mere and meaningless or unused paperwork, waste of time. Respondents felt that there is no</w:t>
      </w:r>
      <w:r w:rsidR="00B827DB">
        <w:t xml:space="preserve"> tangible outcome of program review linked to planning and budgeting</w:t>
      </w:r>
      <w:r w:rsidR="00ED1083">
        <w:t xml:space="preserve"> and timeline for completion is unclear but always rushed.</w:t>
      </w:r>
    </w:p>
    <w:p w:rsidR="00ED1083" w:rsidRDefault="00ED1083" w:rsidP="00B827DB">
      <w:pPr>
        <w:pStyle w:val="ListParagraph"/>
        <w:numPr>
          <w:ilvl w:val="0"/>
          <w:numId w:val="2"/>
        </w:numPr>
      </w:pPr>
      <w:r>
        <w:t xml:space="preserve">Of those rating program review effectiveness </w:t>
      </w:r>
      <w:proofErr w:type="gramStart"/>
      <w:r>
        <w:t>between 6-10,</w:t>
      </w:r>
      <w:proofErr w:type="gramEnd"/>
      <w:r>
        <w:t xml:space="preserve"> the reasons for the rating revolved around the perceived improvement in completion and increased emphasis on the link between program review and resource requests. Although the majority of these respondents still noted the need for training, improvement and clarity.</w:t>
      </w:r>
    </w:p>
    <w:p w:rsidR="00516555" w:rsidRDefault="00516555" w:rsidP="00516555">
      <w:pPr>
        <w:pStyle w:val="ListParagraph"/>
        <w:numPr>
          <w:ilvl w:val="0"/>
          <w:numId w:val="2"/>
        </w:numPr>
      </w:pPr>
      <w:r>
        <w:t>Not a clear understanding between assessment processes and program review, which are intricately connected.</w:t>
      </w:r>
    </w:p>
    <w:p w:rsidR="00ED1083" w:rsidRPr="00516555" w:rsidRDefault="005577E8" w:rsidP="00516555">
      <w:pPr>
        <w:pStyle w:val="Heading1"/>
        <w:rPr>
          <w:rStyle w:val="Heading3Char"/>
          <w:b/>
          <w:bCs/>
          <w:color w:val="3E3E67" w:themeColor="accent1" w:themeShade="BF"/>
        </w:rPr>
      </w:pPr>
      <w:r>
        <w:lastRenderedPageBreak/>
        <w:t xml:space="preserve">Common </w:t>
      </w:r>
      <w:r w:rsidR="00516555">
        <w:t xml:space="preserve">Recommendations for </w:t>
      </w:r>
      <w:r w:rsidR="00516555" w:rsidRPr="00262FCB">
        <w:t>Improvements</w:t>
      </w:r>
      <w:r w:rsidR="00516555">
        <w:t>:</w:t>
      </w:r>
    </w:p>
    <w:p w:rsidR="00ED1083" w:rsidRDefault="00ED1083" w:rsidP="00ED1083">
      <w:pPr>
        <w:pStyle w:val="ListParagraph"/>
        <w:numPr>
          <w:ilvl w:val="0"/>
          <w:numId w:val="3"/>
        </w:numPr>
      </w:pPr>
      <w:r>
        <w:t>Clear timelines and simplified process, one-on-one training and guidance and review, revise the template and questions, include all constituents and increase participation, provide incentives or acknowledgement, increased dialogue to foster understanding of the purpose and use of program review.</w:t>
      </w:r>
    </w:p>
    <w:p w:rsidR="00516555" w:rsidRDefault="00516555" w:rsidP="00516555">
      <w:pPr>
        <w:pStyle w:val="Heading1"/>
      </w:pPr>
      <w:r>
        <w:t>Recurring Themes:</w:t>
      </w:r>
    </w:p>
    <w:p w:rsidR="00262FCB" w:rsidRDefault="00262FCB" w:rsidP="00262FCB">
      <w:pPr>
        <w:pStyle w:val="ListParagraph"/>
        <w:numPr>
          <w:ilvl w:val="0"/>
          <w:numId w:val="3"/>
        </w:numPr>
      </w:pPr>
      <w:r>
        <w:t>Training</w:t>
      </w:r>
    </w:p>
    <w:p w:rsidR="00262FCB" w:rsidRDefault="00262FCB" w:rsidP="00262FCB">
      <w:pPr>
        <w:pStyle w:val="ListParagraph"/>
        <w:numPr>
          <w:ilvl w:val="0"/>
          <w:numId w:val="3"/>
        </w:numPr>
      </w:pPr>
      <w:r>
        <w:t>Streamlined process with clear and reasonable timeline start to finish</w:t>
      </w:r>
    </w:p>
    <w:p w:rsidR="00262FCB" w:rsidRDefault="00262FCB" w:rsidP="00262FCB">
      <w:pPr>
        <w:pStyle w:val="ListParagraph"/>
        <w:numPr>
          <w:ilvl w:val="0"/>
          <w:numId w:val="3"/>
        </w:numPr>
      </w:pPr>
      <w:r>
        <w:t>Regular and inclusive dialogue within the department and with the Administrator</w:t>
      </w:r>
    </w:p>
    <w:p w:rsidR="00262FCB" w:rsidRDefault="00262FCB" w:rsidP="00262FCB">
      <w:pPr>
        <w:pStyle w:val="Title"/>
      </w:pPr>
      <w:r>
        <w:t>Integrated Planning and Budgeting</w:t>
      </w:r>
    </w:p>
    <w:tbl>
      <w:tblPr>
        <w:tblW w:w="10927"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3"/>
        <w:gridCol w:w="811"/>
        <w:gridCol w:w="729"/>
        <w:gridCol w:w="1341"/>
        <w:gridCol w:w="875"/>
        <w:gridCol w:w="835"/>
        <w:gridCol w:w="674"/>
        <w:gridCol w:w="11"/>
        <w:gridCol w:w="755"/>
        <w:gridCol w:w="873"/>
      </w:tblGrid>
      <w:tr w:rsidR="00262FCB" w:rsidRPr="004800BA" w:rsidTr="004F6003">
        <w:trPr>
          <w:trHeight w:val="388"/>
          <w:jc w:val="center"/>
        </w:trPr>
        <w:tc>
          <w:tcPr>
            <w:tcW w:w="4023" w:type="dxa"/>
            <w:shd w:val="clear" w:color="auto" w:fill="BFBFBF" w:themeFill="background1" w:themeFillShade="BF"/>
          </w:tcPr>
          <w:p w:rsidR="00262FCB" w:rsidRPr="004800BA" w:rsidRDefault="00262FCB" w:rsidP="00E9401F">
            <w:pPr>
              <w:pStyle w:val="NoSpacing"/>
              <w:rPr>
                <w:b/>
              </w:rPr>
            </w:pPr>
            <w:r w:rsidRPr="004800BA">
              <w:rPr>
                <w:b/>
              </w:rPr>
              <w:t>Integrated Planning and Budgeting Process</w:t>
            </w:r>
          </w:p>
        </w:tc>
        <w:tc>
          <w:tcPr>
            <w:tcW w:w="1540" w:type="dxa"/>
            <w:gridSpan w:val="2"/>
            <w:shd w:val="clear" w:color="auto" w:fill="BFBFBF" w:themeFill="background1" w:themeFillShade="BF"/>
          </w:tcPr>
          <w:p w:rsidR="00262FCB" w:rsidRPr="004800BA" w:rsidRDefault="00262FCB" w:rsidP="00E9401F">
            <w:pPr>
              <w:pStyle w:val="NoSpacing"/>
              <w:rPr>
                <w:b/>
              </w:rPr>
            </w:pPr>
            <w:r>
              <w:rPr>
                <w:b/>
              </w:rPr>
              <w:t>Always/Most of the Time</w:t>
            </w:r>
          </w:p>
        </w:tc>
        <w:tc>
          <w:tcPr>
            <w:tcW w:w="2216" w:type="dxa"/>
            <w:gridSpan w:val="2"/>
            <w:shd w:val="clear" w:color="auto" w:fill="BFBFBF" w:themeFill="background1" w:themeFillShade="BF"/>
          </w:tcPr>
          <w:p w:rsidR="00262FCB" w:rsidRPr="004800BA" w:rsidRDefault="00262FCB" w:rsidP="00E9401F">
            <w:pPr>
              <w:pStyle w:val="NoSpacing"/>
              <w:rPr>
                <w:b/>
              </w:rPr>
            </w:pPr>
            <w:r>
              <w:rPr>
                <w:b/>
              </w:rPr>
              <w:t>Occasionally/Some of the Time</w:t>
            </w:r>
          </w:p>
        </w:tc>
        <w:tc>
          <w:tcPr>
            <w:tcW w:w="1520" w:type="dxa"/>
            <w:gridSpan w:val="3"/>
            <w:shd w:val="clear" w:color="auto" w:fill="BFBFBF" w:themeFill="background1" w:themeFillShade="BF"/>
          </w:tcPr>
          <w:p w:rsidR="00262FCB" w:rsidRPr="004800BA" w:rsidRDefault="00262FCB" w:rsidP="00E9401F">
            <w:pPr>
              <w:pStyle w:val="NoSpacing"/>
              <w:rPr>
                <w:b/>
              </w:rPr>
            </w:pPr>
            <w:r>
              <w:rPr>
                <w:b/>
              </w:rPr>
              <w:t>Rarely/Never</w:t>
            </w:r>
          </w:p>
        </w:tc>
        <w:tc>
          <w:tcPr>
            <w:tcW w:w="1628" w:type="dxa"/>
            <w:gridSpan w:val="2"/>
            <w:shd w:val="clear" w:color="auto" w:fill="BFBFBF" w:themeFill="background1" w:themeFillShade="BF"/>
          </w:tcPr>
          <w:p w:rsidR="00262FCB" w:rsidRPr="004800BA" w:rsidRDefault="00262FCB" w:rsidP="00E9401F">
            <w:pPr>
              <w:pStyle w:val="NoSpacing"/>
              <w:rPr>
                <w:b/>
              </w:rPr>
            </w:pPr>
            <w:r>
              <w:rPr>
                <w:b/>
              </w:rPr>
              <w:t>I don’t know.</w:t>
            </w:r>
          </w:p>
        </w:tc>
      </w:tr>
      <w:tr w:rsidR="00F31E29" w:rsidRPr="0066689E" w:rsidTr="004F6003">
        <w:trPr>
          <w:trHeight w:val="602"/>
          <w:jc w:val="center"/>
        </w:trPr>
        <w:tc>
          <w:tcPr>
            <w:tcW w:w="4023" w:type="dxa"/>
            <w:shd w:val="clear" w:color="auto" w:fill="auto"/>
          </w:tcPr>
          <w:p w:rsidR="00F31E29" w:rsidRDefault="00F31E29" w:rsidP="00E9401F">
            <w:pPr>
              <w:pStyle w:val="NoSpacing"/>
            </w:pPr>
            <w:r>
              <w:t>Budget development and resource allocation is driven by planning and assessment.</w:t>
            </w:r>
          </w:p>
        </w:tc>
        <w:tc>
          <w:tcPr>
            <w:tcW w:w="811" w:type="dxa"/>
            <w:shd w:val="clear" w:color="auto" w:fill="auto"/>
          </w:tcPr>
          <w:p w:rsidR="00F31E29" w:rsidRPr="0066689E" w:rsidRDefault="004F6003" w:rsidP="00F31E29">
            <w:pPr>
              <w:pStyle w:val="NoSpacing"/>
              <w:jc w:val="center"/>
              <w:rPr>
                <w:sz w:val="20"/>
                <w:szCs w:val="20"/>
              </w:rPr>
            </w:pPr>
            <w:r>
              <w:rPr>
                <w:sz w:val="20"/>
                <w:szCs w:val="20"/>
              </w:rPr>
              <w:t>19</w:t>
            </w:r>
          </w:p>
        </w:tc>
        <w:tc>
          <w:tcPr>
            <w:tcW w:w="729" w:type="dxa"/>
            <w:shd w:val="clear" w:color="auto" w:fill="auto"/>
          </w:tcPr>
          <w:p w:rsidR="00F31E29" w:rsidRPr="0066689E" w:rsidRDefault="00F31E29" w:rsidP="00E9401F">
            <w:pPr>
              <w:pStyle w:val="NoSpacing"/>
              <w:jc w:val="center"/>
              <w:rPr>
                <w:sz w:val="20"/>
                <w:szCs w:val="20"/>
              </w:rPr>
            </w:pPr>
            <w:r w:rsidRPr="0066689E">
              <w:rPr>
                <w:sz w:val="20"/>
                <w:szCs w:val="20"/>
              </w:rPr>
              <w:t>25%</w:t>
            </w:r>
          </w:p>
        </w:tc>
        <w:tc>
          <w:tcPr>
            <w:tcW w:w="1341" w:type="dxa"/>
            <w:shd w:val="clear" w:color="auto" w:fill="auto"/>
          </w:tcPr>
          <w:p w:rsidR="00F31E29" w:rsidRPr="0066689E" w:rsidRDefault="004F6003" w:rsidP="00F31E29">
            <w:pPr>
              <w:pStyle w:val="NoSpacing"/>
              <w:jc w:val="center"/>
              <w:rPr>
                <w:sz w:val="20"/>
                <w:szCs w:val="20"/>
              </w:rPr>
            </w:pPr>
            <w:r>
              <w:rPr>
                <w:sz w:val="20"/>
                <w:szCs w:val="20"/>
              </w:rPr>
              <w:t>23</w:t>
            </w:r>
          </w:p>
        </w:tc>
        <w:tc>
          <w:tcPr>
            <w:tcW w:w="875" w:type="dxa"/>
            <w:shd w:val="clear" w:color="auto" w:fill="auto"/>
          </w:tcPr>
          <w:p w:rsidR="00F31E29" w:rsidRPr="0066689E" w:rsidRDefault="00F31E29" w:rsidP="00E9401F">
            <w:pPr>
              <w:pStyle w:val="NoSpacing"/>
              <w:jc w:val="center"/>
              <w:rPr>
                <w:sz w:val="20"/>
                <w:szCs w:val="20"/>
              </w:rPr>
            </w:pPr>
            <w:r w:rsidRPr="0066689E">
              <w:rPr>
                <w:sz w:val="20"/>
                <w:szCs w:val="20"/>
              </w:rPr>
              <w:t>31%</w:t>
            </w:r>
          </w:p>
        </w:tc>
        <w:tc>
          <w:tcPr>
            <w:tcW w:w="835" w:type="dxa"/>
            <w:shd w:val="clear" w:color="auto" w:fill="auto"/>
          </w:tcPr>
          <w:p w:rsidR="00F31E29" w:rsidRPr="0066689E" w:rsidRDefault="004F6003" w:rsidP="00F31E29">
            <w:pPr>
              <w:pStyle w:val="NoSpacing"/>
              <w:jc w:val="center"/>
              <w:rPr>
                <w:sz w:val="20"/>
                <w:szCs w:val="20"/>
              </w:rPr>
            </w:pPr>
            <w:r>
              <w:rPr>
                <w:sz w:val="20"/>
                <w:szCs w:val="20"/>
              </w:rPr>
              <w:t>15</w:t>
            </w:r>
          </w:p>
        </w:tc>
        <w:tc>
          <w:tcPr>
            <w:tcW w:w="674" w:type="dxa"/>
            <w:shd w:val="clear" w:color="auto" w:fill="auto"/>
          </w:tcPr>
          <w:p w:rsidR="00F31E29" w:rsidRPr="0066689E" w:rsidRDefault="00F31E29" w:rsidP="00E9401F">
            <w:pPr>
              <w:pStyle w:val="NoSpacing"/>
              <w:jc w:val="center"/>
              <w:rPr>
                <w:sz w:val="20"/>
                <w:szCs w:val="20"/>
              </w:rPr>
            </w:pPr>
            <w:r w:rsidRPr="0066689E">
              <w:rPr>
                <w:sz w:val="20"/>
                <w:szCs w:val="20"/>
              </w:rPr>
              <w:t>20%</w:t>
            </w:r>
          </w:p>
        </w:tc>
        <w:tc>
          <w:tcPr>
            <w:tcW w:w="766" w:type="dxa"/>
            <w:gridSpan w:val="2"/>
            <w:shd w:val="clear" w:color="auto" w:fill="auto"/>
          </w:tcPr>
          <w:p w:rsidR="00F31E29" w:rsidRPr="0066689E" w:rsidRDefault="004F6003" w:rsidP="00F31E29">
            <w:pPr>
              <w:pStyle w:val="NoSpacing"/>
              <w:jc w:val="center"/>
              <w:rPr>
                <w:sz w:val="20"/>
                <w:szCs w:val="20"/>
              </w:rPr>
            </w:pPr>
            <w:r>
              <w:rPr>
                <w:sz w:val="20"/>
                <w:szCs w:val="20"/>
              </w:rPr>
              <w:t>18</w:t>
            </w:r>
          </w:p>
        </w:tc>
        <w:tc>
          <w:tcPr>
            <w:tcW w:w="873" w:type="dxa"/>
            <w:shd w:val="clear" w:color="auto" w:fill="auto"/>
          </w:tcPr>
          <w:p w:rsidR="00F31E29" w:rsidRPr="0066689E" w:rsidRDefault="00F31E29" w:rsidP="00E9401F">
            <w:pPr>
              <w:pStyle w:val="NoSpacing"/>
              <w:jc w:val="center"/>
              <w:rPr>
                <w:sz w:val="20"/>
                <w:szCs w:val="20"/>
              </w:rPr>
            </w:pPr>
            <w:r w:rsidRPr="0066689E">
              <w:rPr>
                <w:sz w:val="20"/>
                <w:szCs w:val="20"/>
              </w:rPr>
              <w:t>24%</w:t>
            </w:r>
          </w:p>
        </w:tc>
      </w:tr>
      <w:tr w:rsidR="00F31E29" w:rsidRPr="0066689E" w:rsidTr="004F6003">
        <w:trPr>
          <w:trHeight w:val="375"/>
          <w:jc w:val="center"/>
        </w:trPr>
        <w:tc>
          <w:tcPr>
            <w:tcW w:w="4023" w:type="dxa"/>
            <w:shd w:val="clear" w:color="auto" w:fill="auto"/>
          </w:tcPr>
          <w:p w:rsidR="00F31E29" w:rsidRDefault="00F31E29" w:rsidP="00E9401F">
            <w:pPr>
              <w:pStyle w:val="NoSpacing"/>
            </w:pPr>
            <w:r>
              <w:t>Resources requests are linked to data and institutional goals.</w:t>
            </w:r>
          </w:p>
        </w:tc>
        <w:tc>
          <w:tcPr>
            <w:tcW w:w="811" w:type="dxa"/>
            <w:shd w:val="clear" w:color="auto" w:fill="auto"/>
          </w:tcPr>
          <w:p w:rsidR="00F31E29" w:rsidRPr="0066689E" w:rsidRDefault="004F6003" w:rsidP="00F31E29">
            <w:pPr>
              <w:pStyle w:val="NoSpacing"/>
              <w:jc w:val="center"/>
              <w:rPr>
                <w:sz w:val="20"/>
                <w:szCs w:val="20"/>
              </w:rPr>
            </w:pPr>
            <w:r>
              <w:rPr>
                <w:sz w:val="20"/>
                <w:szCs w:val="20"/>
              </w:rPr>
              <w:t>20</w:t>
            </w:r>
          </w:p>
        </w:tc>
        <w:tc>
          <w:tcPr>
            <w:tcW w:w="729" w:type="dxa"/>
            <w:shd w:val="clear" w:color="auto" w:fill="auto"/>
          </w:tcPr>
          <w:p w:rsidR="00F31E29" w:rsidRPr="0066689E" w:rsidRDefault="00F31E29" w:rsidP="00E9401F">
            <w:pPr>
              <w:pStyle w:val="NoSpacing"/>
              <w:jc w:val="center"/>
              <w:rPr>
                <w:sz w:val="20"/>
                <w:szCs w:val="20"/>
              </w:rPr>
            </w:pPr>
            <w:r w:rsidRPr="0066689E">
              <w:rPr>
                <w:sz w:val="20"/>
                <w:szCs w:val="20"/>
              </w:rPr>
              <w:t>27%</w:t>
            </w:r>
          </w:p>
        </w:tc>
        <w:tc>
          <w:tcPr>
            <w:tcW w:w="1341" w:type="dxa"/>
            <w:shd w:val="clear" w:color="auto" w:fill="auto"/>
          </w:tcPr>
          <w:p w:rsidR="00F31E29" w:rsidRPr="0066689E" w:rsidRDefault="004F6003" w:rsidP="00F31E29">
            <w:pPr>
              <w:pStyle w:val="NoSpacing"/>
              <w:jc w:val="center"/>
              <w:rPr>
                <w:sz w:val="20"/>
                <w:szCs w:val="20"/>
              </w:rPr>
            </w:pPr>
            <w:r>
              <w:rPr>
                <w:sz w:val="20"/>
                <w:szCs w:val="20"/>
              </w:rPr>
              <w:t>26</w:t>
            </w:r>
          </w:p>
        </w:tc>
        <w:tc>
          <w:tcPr>
            <w:tcW w:w="875" w:type="dxa"/>
            <w:shd w:val="clear" w:color="auto" w:fill="auto"/>
          </w:tcPr>
          <w:p w:rsidR="00F31E29" w:rsidRPr="0066689E" w:rsidRDefault="00F31E29" w:rsidP="00E9401F">
            <w:pPr>
              <w:pStyle w:val="NoSpacing"/>
              <w:jc w:val="center"/>
              <w:rPr>
                <w:sz w:val="20"/>
                <w:szCs w:val="20"/>
              </w:rPr>
            </w:pPr>
            <w:r w:rsidRPr="0066689E">
              <w:rPr>
                <w:sz w:val="20"/>
                <w:szCs w:val="20"/>
              </w:rPr>
              <w:t>35%</w:t>
            </w:r>
          </w:p>
        </w:tc>
        <w:tc>
          <w:tcPr>
            <w:tcW w:w="835" w:type="dxa"/>
            <w:shd w:val="clear" w:color="auto" w:fill="auto"/>
          </w:tcPr>
          <w:p w:rsidR="00F31E29" w:rsidRPr="0066689E" w:rsidRDefault="004F6003" w:rsidP="00F31E29">
            <w:pPr>
              <w:pStyle w:val="NoSpacing"/>
              <w:jc w:val="center"/>
              <w:rPr>
                <w:sz w:val="20"/>
                <w:szCs w:val="20"/>
              </w:rPr>
            </w:pPr>
            <w:r>
              <w:rPr>
                <w:sz w:val="20"/>
                <w:szCs w:val="20"/>
              </w:rPr>
              <w:t>12</w:t>
            </w:r>
          </w:p>
        </w:tc>
        <w:tc>
          <w:tcPr>
            <w:tcW w:w="674" w:type="dxa"/>
            <w:shd w:val="clear" w:color="auto" w:fill="auto"/>
          </w:tcPr>
          <w:p w:rsidR="00F31E29" w:rsidRPr="0066689E" w:rsidRDefault="00F31E29" w:rsidP="00E9401F">
            <w:pPr>
              <w:pStyle w:val="NoSpacing"/>
              <w:jc w:val="center"/>
              <w:rPr>
                <w:sz w:val="20"/>
                <w:szCs w:val="20"/>
              </w:rPr>
            </w:pPr>
            <w:r w:rsidRPr="0066689E">
              <w:rPr>
                <w:sz w:val="20"/>
                <w:szCs w:val="20"/>
              </w:rPr>
              <w:t>16%</w:t>
            </w:r>
          </w:p>
        </w:tc>
        <w:tc>
          <w:tcPr>
            <w:tcW w:w="766" w:type="dxa"/>
            <w:gridSpan w:val="2"/>
            <w:shd w:val="clear" w:color="auto" w:fill="auto"/>
          </w:tcPr>
          <w:p w:rsidR="00F31E29" w:rsidRPr="0066689E" w:rsidRDefault="004F6003" w:rsidP="00F31E29">
            <w:pPr>
              <w:pStyle w:val="NoSpacing"/>
              <w:jc w:val="center"/>
              <w:rPr>
                <w:sz w:val="20"/>
                <w:szCs w:val="20"/>
              </w:rPr>
            </w:pPr>
            <w:r>
              <w:rPr>
                <w:sz w:val="20"/>
                <w:szCs w:val="20"/>
              </w:rPr>
              <w:t>17</w:t>
            </w:r>
          </w:p>
        </w:tc>
        <w:tc>
          <w:tcPr>
            <w:tcW w:w="873" w:type="dxa"/>
            <w:shd w:val="clear" w:color="auto" w:fill="auto"/>
          </w:tcPr>
          <w:p w:rsidR="00F31E29" w:rsidRPr="0066689E" w:rsidRDefault="00F31E29" w:rsidP="00E9401F">
            <w:pPr>
              <w:pStyle w:val="NoSpacing"/>
              <w:jc w:val="center"/>
              <w:rPr>
                <w:sz w:val="20"/>
                <w:szCs w:val="20"/>
              </w:rPr>
            </w:pPr>
            <w:r w:rsidRPr="0066689E">
              <w:rPr>
                <w:sz w:val="20"/>
                <w:szCs w:val="20"/>
              </w:rPr>
              <w:t>23%</w:t>
            </w:r>
          </w:p>
        </w:tc>
      </w:tr>
      <w:tr w:rsidR="00F31E29" w:rsidRPr="0066689E" w:rsidTr="004F6003">
        <w:trPr>
          <w:trHeight w:val="575"/>
          <w:jc w:val="center"/>
        </w:trPr>
        <w:tc>
          <w:tcPr>
            <w:tcW w:w="4023" w:type="dxa"/>
            <w:shd w:val="clear" w:color="auto" w:fill="auto"/>
          </w:tcPr>
          <w:p w:rsidR="00F31E29" w:rsidRDefault="00F31E29" w:rsidP="00E9401F">
            <w:pPr>
              <w:pStyle w:val="NoSpacing"/>
            </w:pPr>
            <w:r>
              <w:t>Overall, integrated planning and budgeting results in improvement of student learning and achievement at Merritt College.</w:t>
            </w:r>
          </w:p>
        </w:tc>
        <w:tc>
          <w:tcPr>
            <w:tcW w:w="811" w:type="dxa"/>
            <w:shd w:val="clear" w:color="auto" w:fill="auto"/>
          </w:tcPr>
          <w:p w:rsidR="00F31E29" w:rsidRPr="0066689E" w:rsidRDefault="004F6003" w:rsidP="00F31E29">
            <w:pPr>
              <w:pStyle w:val="NoSpacing"/>
              <w:jc w:val="center"/>
              <w:rPr>
                <w:sz w:val="20"/>
                <w:szCs w:val="20"/>
              </w:rPr>
            </w:pPr>
            <w:r>
              <w:rPr>
                <w:sz w:val="20"/>
                <w:szCs w:val="20"/>
              </w:rPr>
              <w:t>15</w:t>
            </w:r>
          </w:p>
        </w:tc>
        <w:tc>
          <w:tcPr>
            <w:tcW w:w="729" w:type="dxa"/>
            <w:shd w:val="clear" w:color="auto" w:fill="auto"/>
          </w:tcPr>
          <w:p w:rsidR="00F31E29" w:rsidRPr="0066689E" w:rsidRDefault="00F31E29" w:rsidP="00E9401F">
            <w:pPr>
              <w:pStyle w:val="NoSpacing"/>
              <w:jc w:val="center"/>
              <w:rPr>
                <w:sz w:val="20"/>
                <w:szCs w:val="20"/>
              </w:rPr>
            </w:pPr>
            <w:r w:rsidRPr="0066689E">
              <w:rPr>
                <w:sz w:val="20"/>
                <w:szCs w:val="20"/>
              </w:rPr>
              <w:t>20%</w:t>
            </w:r>
          </w:p>
        </w:tc>
        <w:tc>
          <w:tcPr>
            <w:tcW w:w="1341" w:type="dxa"/>
            <w:shd w:val="clear" w:color="auto" w:fill="auto"/>
          </w:tcPr>
          <w:p w:rsidR="00F31E29" w:rsidRPr="0066689E" w:rsidRDefault="004F6003" w:rsidP="00F31E29">
            <w:pPr>
              <w:pStyle w:val="NoSpacing"/>
              <w:jc w:val="center"/>
              <w:rPr>
                <w:sz w:val="20"/>
                <w:szCs w:val="20"/>
              </w:rPr>
            </w:pPr>
            <w:r>
              <w:rPr>
                <w:sz w:val="20"/>
                <w:szCs w:val="20"/>
              </w:rPr>
              <w:t>23</w:t>
            </w:r>
          </w:p>
        </w:tc>
        <w:tc>
          <w:tcPr>
            <w:tcW w:w="875" w:type="dxa"/>
            <w:shd w:val="clear" w:color="auto" w:fill="auto"/>
          </w:tcPr>
          <w:p w:rsidR="00F31E29" w:rsidRPr="0066689E" w:rsidRDefault="00F31E29" w:rsidP="00E9401F">
            <w:pPr>
              <w:pStyle w:val="NoSpacing"/>
              <w:jc w:val="center"/>
              <w:rPr>
                <w:sz w:val="20"/>
                <w:szCs w:val="20"/>
              </w:rPr>
            </w:pPr>
            <w:r w:rsidRPr="0066689E">
              <w:rPr>
                <w:sz w:val="20"/>
                <w:szCs w:val="20"/>
              </w:rPr>
              <w:t>31%</w:t>
            </w:r>
          </w:p>
        </w:tc>
        <w:tc>
          <w:tcPr>
            <w:tcW w:w="835" w:type="dxa"/>
            <w:shd w:val="clear" w:color="auto" w:fill="auto"/>
          </w:tcPr>
          <w:p w:rsidR="00F31E29" w:rsidRPr="0066689E" w:rsidRDefault="004F6003" w:rsidP="00F31E29">
            <w:pPr>
              <w:pStyle w:val="NoSpacing"/>
              <w:jc w:val="center"/>
              <w:rPr>
                <w:sz w:val="20"/>
                <w:szCs w:val="20"/>
              </w:rPr>
            </w:pPr>
            <w:r>
              <w:rPr>
                <w:sz w:val="20"/>
                <w:szCs w:val="20"/>
              </w:rPr>
              <w:t>17</w:t>
            </w:r>
          </w:p>
        </w:tc>
        <w:tc>
          <w:tcPr>
            <w:tcW w:w="674" w:type="dxa"/>
            <w:shd w:val="clear" w:color="auto" w:fill="auto"/>
          </w:tcPr>
          <w:p w:rsidR="00F31E29" w:rsidRPr="0066689E" w:rsidRDefault="00F31E29" w:rsidP="00E9401F">
            <w:pPr>
              <w:pStyle w:val="NoSpacing"/>
              <w:jc w:val="center"/>
              <w:rPr>
                <w:sz w:val="20"/>
                <w:szCs w:val="20"/>
              </w:rPr>
            </w:pPr>
            <w:r w:rsidRPr="0066689E">
              <w:rPr>
                <w:sz w:val="20"/>
                <w:szCs w:val="20"/>
              </w:rPr>
              <w:t>23%</w:t>
            </w:r>
          </w:p>
        </w:tc>
        <w:tc>
          <w:tcPr>
            <w:tcW w:w="766" w:type="dxa"/>
            <w:gridSpan w:val="2"/>
            <w:shd w:val="clear" w:color="auto" w:fill="auto"/>
          </w:tcPr>
          <w:p w:rsidR="00F31E29" w:rsidRPr="0066689E" w:rsidRDefault="004F6003" w:rsidP="00F31E29">
            <w:pPr>
              <w:pStyle w:val="NoSpacing"/>
              <w:jc w:val="center"/>
              <w:rPr>
                <w:sz w:val="20"/>
                <w:szCs w:val="20"/>
              </w:rPr>
            </w:pPr>
            <w:r>
              <w:rPr>
                <w:sz w:val="20"/>
                <w:szCs w:val="20"/>
              </w:rPr>
              <w:t>20</w:t>
            </w:r>
          </w:p>
        </w:tc>
        <w:tc>
          <w:tcPr>
            <w:tcW w:w="873" w:type="dxa"/>
            <w:shd w:val="clear" w:color="auto" w:fill="auto"/>
          </w:tcPr>
          <w:p w:rsidR="00F31E29" w:rsidRPr="0066689E" w:rsidRDefault="00F31E29" w:rsidP="00E9401F">
            <w:pPr>
              <w:pStyle w:val="NoSpacing"/>
              <w:jc w:val="center"/>
              <w:rPr>
                <w:sz w:val="20"/>
                <w:szCs w:val="20"/>
              </w:rPr>
            </w:pPr>
            <w:r w:rsidRPr="0066689E">
              <w:rPr>
                <w:sz w:val="20"/>
                <w:szCs w:val="20"/>
              </w:rPr>
              <w:t>27%</w:t>
            </w:r>
          </w:p>
        </w:tc>
      </w:tr>
      <w:tr w:rsidR="00262FCB" w:rsidTr="004F6003">
        <w:trPr>
          <w:trHeight w:val="330"/>
          <w:jc w:val="center"/>
        </w:trPr>
        <w:tc>
          <w:tcPr>
            <w:tcW w:w="4023" w:type="dxa"/>
            <w:shd w:val="clear" w:color="auto" w:fill="auto"/>
          </w:tcPr>
          <w:p w:rsidR="00262FCB" w:rsidRDefault="00262FCB" w:rsidP="00E9401F">
            <w:pPr>
              <w:pStyle w:val="NoSpacing"/>
            </w:pPr>
            <w:r>
              <w:t>Please rate the effectiveness of the integrated planning and budgeting process at Merritt College.</w:t>
            </w:r>
          </w:p>
        </w:tc>
        <w:tc>
          <w:tcPr>
            <w:tcW w:w="6904" w:type="dxa"/>
            <w:gridSpan w:val="9"/>
            <w:shd w:val="clear" w:color="auto" w:fill="auto"/>
          </w:tcPr>
          <w:p w:rsidR="00262FCB" w:rsidRDefault="00211942" w:rsidP="00E9401F">
            <w:pPr>
              <w:pStyle w:val="NoSpacing"/>
              <w:jc w:val="center"/>
            </w:pPr>
            <w:r>
              <w:t xml:space="preserve">Average: </w:t>
            </w:r>
            <w:r w:rsidR="00262FCB">
              <w:t>4.94</w:t>
            </w:r>
          </w:p>
        </w:tc>
      </w:tr>
    </w:tbl>
    <w:p w:rsidR="00262FCB" w:rsidRDefault="00262FCB" w:rsidP="00262FCB"/>
    <w:p w:rsidR="00262FCB" w:rsidRDefault="00211942" w:rsidP="00211942">
      <w:pPr>
        <w:pStyle w:val="ListParagraph"/>
        <w:numPr>
          <w:ilvl w:val="0"/>
          <w:numId w:val="4"/>
        </w:numPr>
      </w:pPr>
      <w:r>
        <w:t>A significant portion of the College is unfamiliar with integrated planning and budgeting processes.</w:t>
      </w:r>
    </w:p>
    <w:p w:rsidR="00211942" w:rsidRDefault="00211942" w:rsidP="00211942">
      <w:pPr>
        <w:pStyle w:val="ListParagraph"/>
        <w:numPr>
          <w:ilvl w:val="0"/>
          <w:numId w:val="4"/>
        </w:numPr>
      </w:pPr>
      <w:r>
        <w:t>Even though the mode rating of effectiveness was a 5.0, the average was slightly below, at 4.94, which means the majority of respondents rated the effectiveness 5 or below.</w:t>
      </w:r>
    </w:p>
    <w:p w:rsidR="00211942" w:rsidRDefault="00211942" w:rsidP="00211942">
      <w:pPr>
        <w:pStyle w:val="ListParagraph"/>
        <w:numPr>
          <w:ilvl w:val="0"/>
          <w:numId w:val="4"/>
        </w:numPr>
      </w:pPr>
      <w:r>
        <w:t xml:space="preserve">Those rating on the lower end of effectiveness cited reasons including lack of evidence of the process, lack of understanding, clarity, transparency or follow through in the process. </w:t>
      </w:r>
    </w:p>
    <w:p w:rsidR="00516555" w:rsidRDefault="00516555" w:rsidP="00211942">
      <w:pPr>
        <w:pStyle w:val="ListParagraph"/>
        <w:numPr>
          <w:ilvl w:val="0"/>
          <w:numId w:val="4"/>
        </w:numPr>
      </w:pPr>
      <w:r>
        <w:t>Respondents rating the effectiveness of integrated planning and budgeting favorably noted that the process is improving, despite the challenges to remain sustainable and transparent.</w:t>
      </w:r>
    </w:p>
    <w:p w:rsidR="00516555" w:rsidRPr="00516555" w:rsidRDefault="005577E8" w:rsidP="00516555">
      <w:pPr>
        <w:pStyle w:val="Heading1"/>
        <w:rPr>
          <w:rStyle w:val="Heading3Char"/>
          <w:b/>
          <w:bCs/>
          <w:color w:val="3E3E67" w:themeColor="accent1" w:themeShade="BF"/>
        </w:rPr>
      </w:pPr>
      <w:r>
        <w:lastRenderedPageBreak/>
        <w:t xml:space="preserve">Common </w:t>
      </w:r>
      <w:r w:rsidR="00516555">
        <w:t xml:space="preserve">Recommendations for </w:t>
      </w:r>
      <w:r w:rsidR="00516555" w:rsidRPr="00262FCB">
        <w:t>Improvements</w:t>
      </w:r>
      <w:r w:rsidR="00516555">
        <w:t>:</w:t>
      </w:r>
    </w:p>
    <w:p w:rsidR="00516555" w:rsidRDefault="00516555" w:rsidP="00516555">
      <w:pPr>
        <w:pStyle w:val="ListParagraph"/>
        <w:numPr>
          <w:ilvl w:val="0"/>
          <w:numId w:val="5"/>
        </w:numPr>
      </w:pPr>
      <w:r>
        <w:t xml:space="preserve">Recommendations for improvement to the integrated planning and budgeting process included: increased transparency, consistency, participation and collaboration among constituents and units. </w:t>
      </w:r>
    </w:p>
    <w:p w:rsidR="00516555" w:rsidRDefault="00516555" w:rsidP="00516555">
      <w:pPr>
        <w:pStyle w:val="Heading1"/>
      </w:pPr>
      <w:r>
        <w:t>Recurring Themes:</w:t>
      </w:r>
    </w:p>
    <w:p w:rsidR="00516555" w:rsidRDefault="00516555" w:rsidP="00516555">
      <w:pPr>
        <w:pStyle w:val="ListParagraph"/>
        <w:numPr>
          <w:ilvl w:val="0"/>
          <w:numId w:val="5"/>
        </w:numPr>
      </w:pPr>
      <w:r>
        <w:t>Consistency and Transparency</w:t>
      </w:r>
    </w:p>
    <w:p w:rsidR="00516555" w:rsidRDefault="00516555" w:rsidP="00516555">
      <w:pPr>
        <w:pStyle w:val="ListParagraph"/>
        <w:numPr>
          <w:ilvl w:val="0"/>
          <w:numId w:val="5"/>
        </w:numPr>
      </w:pPr>
      <w:r>
        <w:t>Need for simplicity, adherence and follow through</w:t>
      </w:r>
    </w:p>
    <w:p w:rsidR="00516555" w:rsidRDefault="0014785D" w:rsidP="00516555">
      <w:pPr>
        <w:pStyle w:val="ListParagraph"/>
        <w:numPr>
          <w:ilvl w:val="0"/>
          <w:numId w:val="5"/>
        </w:numPr>
      </w:pPr>
      <w:r>
        <w:t>Need for evidence of fairness and completeness of process</w:t>
      </w:r>
    </w:p>
    <w:p w:rsidR="0014785D" w:rsidRDefault="0014785D" w:rsidP="0014785D">
      <w:pPr>
        <w:pStyle w:val="Title"/>
      </w:pPr>
      <w:r>
        <w:t>Collegial Decision Making</w:t>
      </w:r>
    </w:p>
    <w:tbl>
      <w:tblPr>
        <w:tblW w:w="10940"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778"/>
        <w:gridCol w:w="846"/>
        <w:gridCol w:w="1404"/>
        <w:gridCol w:w="718"/>
        <w:gridCol w:w="45"/>
        <w:gridCol w:w="857"/>
        <w:gridCol w:w="640"/>
        <w:gridCol w:w="980"/>
        <w:gridCol w:w="700"/>
      </w:tblGrid>
      <w:tr w:rsidR="004C6E85" w:rsidRPr="004800BA" w:rsidTr="004F6003">
        <w:trPr>
          <w:trHeight w:val="435"/>
          <w:jc w:val="center"/>
        </w:trPr>
        <w:tc>
          <w:tcPr>
            <w:tcW w:w="3972" w:type="dxa"/>
            <w:shd w:val="clear" w:color="auto" w:fill="BFBFBF" w:themeFill="background1" w:themeFillShade="BF"/>
          </w:tcPr>
          <w:p w:rsidR="004C6E85" w:rsidRPr="004800BA" w:rsidRDefault="004C6E85" w:rsidP="00E9401F">
            <w:pPr>
              <w:pStyle w:val="NoSpacing"/>
              <w:rPr>
                <w:b/>
              </w:rPr>
            </w:pPr>
            <w:r w:rsidRPr="004800BA">
              <w:rPr>
                <w:b/>
              </w:rPr>
              <w:t>Collegial Decision Making</w:t>
            </w:r>
          </w:p>
        </w:tc>
        <w:tc>
          <w:tcPr>
            <w:tcW w:w="1624" w:type="dxa"/>
            <w:gridSpan w:val="2"/>
            <w:shd w:val="clear" w:color="auto" w:fill="BFBFBF" w:themeFill="background1" w:themeFillShade="BF"/>
          </w:tcPr>
          <w:p w:rsidR="004C6E85" w:rsidRPr="004800BA" w:rsidRDefault="004C6E85" w:rsidP="00E9401F">
            <w:pPr>
              <w:pStyle w:val="NoSpacing"/>
              <w:rPr>
                <w:b/>
              </w:rPr>
            </w:pPr>
            <w:r>
              <w:rPr>
                <w:b/>
              </w:rPr>
              <w:t>Always/Most of the Time</w:t>
            </w:r>
          </w:p>
        </w:tc>
        <w:tc>
          <w:tcPr>
            <w:tcW w:w="2167" w:type="dxa"/>
            <w:gridSpan w:val="3"/>
            <w:shd w:val="clear" w:color="auto" w:fill="BFBFBF" w:themeFill="background1" w:themeFillShade="BF"/>
          </w:tcPr>
          <w:p w:rsidR="004C6E85" w:rsidRPr="004800BA" w:rsidRDefault="004C6E85" w:rsidP="00E9401F">
            <w:pPr>
              <w:pStyle w:val="NoSpacing"/>
              <w:rPr>
                <w:b/>
              </w:rPr>
            </w:pPr>
            <w:r>
              <w:rPr>
                <w:b/>
              </w:rPr>
              <w:t>Occasionally/Some of the Time</w:t>
            </w:r>
          </w:p>
        </w:tc>
        <w:tc>
          <w:tcPr>
            <w:tcW w:w="1497" w:type="dxa"/>
            <w:gridSpan w:val="2"/>
            <w:shd w:val="clear" w:color="auto" w:fill="BFBFBF" w:themeFill="background1" w:themeFillShade="BF"/>
          </w:tcPr>
          <w:p w:rsidR="004C6E85" w:rsidRPr="004800BA" w:rsidRDefault="004C6E85" w:rsidP="00E9401F">
            <w:pPr>
              <w:pStyle w:val="NoSpacing"/>
              <w:rPr>
                <w:b/>
              </w:rPr>
            </w:pPr>
            <w:r>
              <w:rPr>
                <w:b/>
              </w:rPr>
              <w:t>Rarely/Never</w:t>
            </w:r>
          </w:p>
        </w:tc>
        <w:tc>
          <w:tcPr>
            <w:tcW w:w="1680" w:type="dxa"/>
            <w:gridSpan w:val="2"/>
            <w:shd w:val="clear" w:color="auto" w:fill="BFBFBF" w:themeFill="background1" w:themeFillShade="BF"/>
          </w:tcPr>
          <w:p w:rsidR="004C6E85" w:rsidRPr="004800BA" w:rsidRDefault="004C6E85" w:rsidP="00E9401F">
            <w:pPr>
              <w:pStyle w:val="NoSpacing"/>
              <w:rPr>
                <w:b/>
              </w:rPr>
            </w:pPr>
            <w:r>
              <w:rPr>
                <w:b/>
              </w:rPr>
              <w:t>I don’t know.</w:t>
            </w:r>
          </w:p>
        </w:tc>
      </w:tr>
      <w:tr w:rsidR="004F6003" w:rsidRPr="0005701B" w:rsidTr="004F6003">
        <w:trPr>
          <w:trHeight w:val="239"/>
          <w:jc w:val="center"/>
        </w:trPr>
        <w:tc>
          <w:tcPr>
            <w:tcW w:w="3972" w:type="dxa"/>
            <w:shd w:val="clear" w:color="auto" w:fill="auto"/>
          </w:tcPr>
          <w:p w:rsidR="004F6003" w:rsidRDefault="004F6003" w:rsidP="00E9401F">
            <w:pPr>
              <w:pStyle w:val="NoSpacing"/>
            </w:pPr>
            <w:r>
              <w:t>Governance committees represent all constituency groups in decision making processes.</w:t>
            </w:r>
          </w:p>
        </w:tc>
        <w:tc>
          <w:tcPr>
            <w:tcW w:w="778" w:type="dxa"/>
            <w:shd w:val="clear" w:color="auto" w:fill="auto"/>
          </w:tcPr>
          <w:p w:rsidR="004F6003" w:rsidRPr="0005701B" w:rsidRDefault="004F6003" w:rsidP="004F6003">
            <w:pPr>
              <w:pStyle w:val="NoSpacing"/>
              <w:jc w:val="center"/>
              <w:rPr>
                <w:sz w:val="20"/>
                <w:szCs w:val="20"/>
              </w:rPr>
            </w:pPr>
            <w:r>
              <w:rPr>
                <w:sz w:val="20"/>
                <w:szCs w:val="20"/>
              </w:rPr>
              <w:t>15</w:t>
            </w:r>
          </w:p>
        </w:tc>
        <w:tc>
          <w:tcPr>
            <w:tcW w:w="846" w:type="dxa"/>
            <w:shd w:val="clear" w:color="auto" w:fill="auto"/>
          </w:tcPr>
          <w:p w:rsidR="004F6003" w:rsidRPr="0005701B" w:rsidRDefault="004F6003" w:rsidP="00E9401F">
            <w:pPr>
              <w:pStyle w:val="NoSpacing"/>
              <w:jc w:val="center"/>
              <w:rPr>
                <w:sz w:val="20"/>
                <w:szCs w:val="20"/>
              </w:rPr>
            </w:pPr>
            <w:r w:rsidRPr="0005701B">
              <w:rPr>
                <w:sz w:val="20"/>
                <w:szCs w:val="20"/>
              </w:rPr>
              <w:t>21%</w:t>
            </w:r>
          </w:p>
        </w:tc>
        <w:tc>
          <w:tcPr>
            <w:tcW w:w="1404" w:type="dxa"/>
            <w:shd w:val="clear" w:color="auto" w:fill="auto"/>
          </w:tcPr>
          <w:p w:rsidR="004F6003" w:rsidRPr="0005701B" w:rsidRDefault="004F6003" w:rsidP="004F6003">
            <w:pPr>
              <w:pStyle w:val="NoSpacing"/>
              <w:jc w:val="center"/>
              <w:rPr>
                <w:sz w:val="20"/>
                <w:szCs w:val="20"/>
              </w:rPr>
            </w:pPr>
            <w:r>
              <w:rPr>
                <w:sz w:val="20"/>
                <w:szCs w:val="20"/>
              </w:rPr>
              <w:t>36</w:t>
            </w:r>
          </w:p>
        </w:tc>
        <w:tc>
          <w:tcPr>
            <w:tcW w:w="763" w:type="dxa"/>
            <w:gridSpan w:val="2"/>
            <w:shd w:val="clear" w:color="auto" w:fill="auto"/>
          </w:tcPr>
          <w:p w:rsidR="004F6003" w:rsidRPr="0005701B" w:rsidRDefault="004F6003" w:rsidP="00E9401F">
            <w:pPr>
              <w:pStyle w:val="NoSpacing"/>
              <w:jc w:val="center"/>
              <w:rPr>
                <w:sz w:val="20"/>
                <w:szCs w:val="20"/>
              </w:rPr>
            </w:pPr>
            <w:r w:rsidRPr="0005701B">
              <w:rPr>
                <w:sz w:val="20"/>
                <w:szCs w:val="20"/>
              </w:rPr>
              <w:t>50%</w:t>
            </w:r>
          </w:p>
        </w:tc>
        <w:tc>
          <w:tcPr>
            <w:tcW w:w="857" w:type="dxa"/>
            <w:shd w:val="clear" w:color="auto" w:fill="auto"/>
          </w:tcPr>
          <w:p w:rsidR="004F6003" w:rsidRPr="0005701B" w:rsidRDefault="004F6003" w:rsidP="004F6003">
            <w:pPr>
              <w:pStyle w:val="NoSpacing"/>
              <w:jc w:val="center"/>
              <w:rPr>
                <w:sz w:val="20"/>
                <w:szCs w:val="20"/>
              </w:rPr>
            </w:pPr>
            <w:r>
              <w:rPr>
                <w:sz w:val="20"/>
                <w:szCs w:val="20"/>
              </w:rPr>
              <w:t>8</w:t>
            </w:r>
          </w:p>
        </w:tc>
        <w:tc>
          <w:tcPr>
            <w:tcW w:w="640" w:type="dxa"/>
            <w:shd w:val="clear" w:color="auto" w:fill="auto"/>
          </w:tcPr>
          <w:p w:rsidR="004F6003" w:rsidRPr="0005701B" w:rsidRDefault="004F6003" w:rsidP="00E9401F">
            <w:pPr>
              <w:pStyle w:val="NoSpacing"/>
              <w:jc w:val="center"/>
              <w:rPr>
                <w:sz w:val="20"/>
                <w:szCs w:val="20"/>
              </w:rPr>
            </w:pPr>
            <w:r w:rsidRPr="0005701B">
              <w:rPr>
                <w:sz w:val="20"/>
                <w:szCs w:val="20"/>
              </w:rPr>
              <w:t>11%</w:t>
            </w:r>
          </w:p>
        </w:tc>
        <w:tc>
          <w:tcPr>
            <w:tcW w:w="980" w:type="dxa"/>
            <w:shd w:val="clear" w:color="auto" w:fill="auto"/>
          </w:tcPr>
          <w:p w:rsidR="004F6003" w:rsidRPr="0005701B" w:rsidRDefault="004F6003" w:rsidP="004F6003">
            <w:pPr>
              <w:pStyle w:val="NoSpacing"/>
              <w:jc w:val="center"/>
              <w:rPr>
                <w:sz w:val="20"/>
                <w:szCs w:val="20"/>
              </w:rPr>
            </w:pPr>
            <w:r>
              <w:rPr>
                <w:sz w:val="20"/>
                <w:szCs w:val="20"/>
              </w:rPr>
              <w:t>13</w:t>
            </w:r>
          </w:p>
        </w:tc>
        <w:tc>
          <w:tcPr>
            <w:tcW w:w="700" w:type="dxa"/>
            <w:shd w:val="clear" w:color="auto" w:fill="auto"/>
          </w:tcPr>
          <w:p w:rsidR="004F6003" w:rsidRPr="0005701B" w:rsidRDefault="004F6003" w:rsidP="00E9401F">
            <w:pPr>
              <w:pStyle w:val="NoSpacing"/>
              <w:jc w:val="center"/>
              <w:rPr>
                <w:sz w:val="20"/>
                <w:szCs w:val="20"/>
              </w:rPr>
            </w:pPr>
            <w:r w:rsidRPr="0005701B">
              <w:rPr>
                <w:sz w:val="20"/>
                <w:szCs w:val="20"/>
              </w:rPr>
              <w:t>18%</w:t>
            </w:r>
          </w:p>
        </w:tc>
      </w:tr>
      <w:tr w:rsidR="004F6003" w:rsidRPr="0005701B" w:rsidTr="004F6003">
        <w:trPr>
          <w:trHeight w:val="255"/>
          <w:jc w:val="center"/>
        </w:trPr>
        <w:tc>
          <w:tcPr>
            <w:tcW w:w="3972" w:type="dxa"/>
            <w:shd w:val="clear" w:color="auto" w:fill="auto"/>
          </w:tcPr>
          <w:p w:rsidR="004F6003" w:rsidRDefault="004F6003" w:rsidP="00E9401F">
            <w:pPr>
              <w:pStyle w:val="NoSpacing"/>
            </w:pPr>
            <w:r>
              <w:t>Governance committees collaborate to implement data driven and integrated planning and budgeting processes.</w:t>
            </w:r>
          </w:p>
        </w:tc>
        <w:tc>
          <w:tcPr>
            <w:tcW w:w="778" w:type="dxa"/>
            <w:shd w:val="clear" w:color="auto" w:fill="auto"/>
          </w:tcPr>
          <w:p w:rsidR="004F6003" w:rsidRPr="0005701B" w:rsidRDefault="004F6003" w:rsidP="004F6003">
            <w:pPr>
              <w:pStyle w:val="NoSpacing"/>
              <w:jc w:val="center"/>
              <w:rPr>
                <w:sz w:val="20"/>
                <w:szCs w:val="20"/>
              </w:rPr>
            </w:pPr>
            <w:r>
              <w:rPr>
                <w:sz w:val="20"/>
                <w:szCs w:val="20"/>
              </w:rPr>
              <w:t>12</w:t>
            </w:r>
          </w:p>
        </w:tc>
        <w:tc>
          <w:tcPr>
            <w:tcW w:w="846" w:type="dxa"/>
            <w:shd w:val="clear" w:color="auto" w:fill="auto"/>
          </w:tcPr>
          <w:p w:rsidR="004F6003" w:rsidRPr="0005701B" w:rsidRDefault="004F6003" w:rsidP="00E9401F">
            <w:pPr>
              <w:pStyle w:val="NoSpacing"/>
              <w:jc w:val="center"/>
              <w:rPr>
                <w:sz w:val="20"/>
                <w:szCs w:val="20"/>
              </w:rPr>
            </w:pPr>
            <w:r w:rsidRPr="0005701B">
              <w:rPr>
                <w:sz w:val="20"/>
                <w:szCs w:val="20"/>
              </w:rPr>
              <w:t>17%</w:t>
            </w:r>
          </w:p>
        </w:tc>
        <w:tc>
          <w:tcPr>
            <w:tcW w:w="1404" w:type="dxa"/>
            <w:shd w:val="clear" w:color="auto" w:fill="auto"/>
          </w:tcPr>
          <w:p w:rsidR="004F6003" w:rsidRPr="0005701B" w:rsidRDefault="004F6003" w:rsidP="004F6003">
            <w:pPr>
              <w:pStyle w:val="NoSpacing"/>
              <w:jc w:val="center"/>
              <w:rPr>
                <w:sz w:val="20"/>
                <w:szCs w:val="20"/>
              </w:rPr>
            </w:pPr>
            <w:r>
              <w:rPr>
                <w:sz w:val="20"/>
                <w:szCs w:val="20"/>
              </w:rPr>
              <w:t>30</w:t>
            </w:r>
          </w:p>
        </w:tc>
        <w:tc>
          <w:tcPr>
            <w:tcW w:w="763" w:type="dxa"/>
            <w:gridSpan w:val="2"/>
            <w:shd w:val="clear" w:color="auto" w:fill="auto"/>
          </w:tcPr>
          <w:p w:rsidR="004F6003" w:rsidRPr="0005701B" w:rsidRDefault="004F6003" w:rsidP="00E9401F">
            <w:pPr>
              <w:pStyle w:val="NoSpacing"/>
              <w:jc w:val="center"/>
              <w:rPr>
                <w:sz w:val="20"/>
                <w:szCs w:val="20"/>
              </w:rPr>
            </w:pPr>
            <w:r w:rsidRPr="0005701B">
              <w:rPr>
                <w:sz w:val="20"/>
                <w:szCs w:val="20"/>
              </w:rPr>
              <w:t>42%</w:t>
            </w:r>
          </w:p>
        </w:tc>
        <w:tc>
          <w:tcPr>
            <w:tcW w:w="857" w:type="dxa"/>
            <w:shd w:val="clear" w:color="auto" w:fill="auto"/>
          </w:tcPr>
          <w:p w:rsidR="004F6003" w:rsidRPr="0005701B" w:rsidRDefault="004F6003" w:rsidP="004F6003">
            <w:pPr>
              <w:pStyle w:val="NoSpacing"/>
              <w:jc w:val="center"/>
              <w:rPr>
                <w:sz w:val="20"/>
                <w:szCs w:val="20"/>
              </w:rPr>
            </w:pPr>
            <w:r>
              <w:rPr>
                <w:sz w:val="20"/>
                <w:szCs w:val="20"/>
              </w:rPr>
              <w:t>16</w:t>
            </w:r>
          </w:p>
        </w:tc>
        <w:tc>
          <w:tcPr>
            <w:tcW w:w="640" w:type="dxa"/>
            <w:shd w:val="clear" w:color="auto" w:fill="auto"/>
          </w:tcPr>
          <w:p w:rsidR="004F6003" w:rsidRPr="0005701B" w:rsidRDefault="004F6003" w:rsidP="00E9401F">
            <w:pPr>
              <w:pStyle w:val="NoSpacing"/>
              <w:jc w:val="center"/>
              <w:rPr>
                <w:sz w:val="20"/>
                <w:szCs w:val="20"/>
              </w:rPr>
            </w:pPr>
            <w:r w:rsidRPr="0005701B">
              <w:rPr>
                <w:sz w:val="20"/>
                <w:szCs w:val="20"/>
              </w:rPr>
              <w:t>22%</w:t>
            </w:r>
          </w:p>
        </w:tc>
        <w:tc>
          <w:tcPr>
            <w:tcW w:w="980" w:type="dxa"/>
            <w:shd w:val="clear" w:color="auto" w:fill="auto"/>
          </w:tcPr>
          <w:p w:rsidR="004F6003" w:rsidRPr="0005701B" w:rsidRDefault="004F6003" w:rsidP="004F6003">
            <w:pPr>
              <w:pStyle w:val="NoSpacing"/>
              <w:jc w:val="center"/>
              <w:rPr>
                <w:sz w:val="20"/>
                <w:szCs w:val="20"/>
              </w:rPr>
            </w:pPr>
            <w:r>
              <w:rPr>
                <w:sz w:val="20"/>
                <w:szCs w:val="20"/>
              </w:rPr>
              <w:t>14</w:t>
            </w:r>
          </w:p>
        </w:tc>
        <w:tc>
          <w:tcPr>
            <w:tcW w:w="700" w:type="dxa"/>
            <w:shd w:val="clear" w:color="auto" w:fill="auto"/>
          </w:tcPr>
          <w:p w:rsidR="004F6003" w:rsidRPr="0005701B" w:rsidRDefault="004F6003" w:rsidP="00E9401F">
            <w:pPr>
              <w:pStyle w:val="NoSpacing"/>
              <w:jc w:val="center"/>
              <w:rPr>
                <w:sz w:val="20"/>
                <w:szCs w:val="20"/>
              </w:rPr>
            </w:pPr>
            <w:r w:rsidRPr="0005701B">
              <w:rPr>
                <w:sz w:val="20"/>
                <w:szCs w:val="20"/>
              </w:rPr>
              <w:t>19%</w:t>
            </w:r>
          </w:p>
        </w:tc>
      </w:tr>
      <w:tr w:rsidR="004F6003" w:rsidRPr="0005701B" w:rsidTr="004F6003">
        <w:trPr>
          <w:trHeight w:val="270"/>
          <w:jc w:val="center"/>
        </w:trPr>
        <w:tc>
          <w:tcPr>
            <w:tcW w:w="3972" w:type="dxa"/>
            <w:shd w:val="clear" w:color="auto" w:fill="auto"/>
          </w:tcPr>
          <w:p w:rsidR="004F6003" w:rsidRDefault="004F6003" w:rsidP="00E9401F">
            <w:pPr>
              <w:pStyle w:val="NoSpacing"/>
            </w:pPr>
            <w:r>
              <w:t>Governance committees engage in dialogue about institutional effectiveness.</w:t>
            </w:r>
          </w:p>
        </w:tc>
        <w:tc>
          <w:tcPr>
            <w:tcW w:w="778" w:type="dxa"/>
            <w:shd w:val="clear" w:color="auto" w:fill="auto"/>
          </w:tcPr>
          <w:p w:rsidR="004F6003" w:rsidRPr="0005701B" w:rsidRDefault="004F6003" w:rsidP="004F6003">
            <w:pPr>
              <w:pStyle w:val="NoSpacing"/>
              <w:jc w:val="center"/>
              <w:rPr>
                <w:sz w:val="20"/>
                <w:szCs w:val="20"/>
              </w:rPr>
            </w:pPr>
            <w:r>
              <w:rPr>
                <w:sz w:val="20"/>
                <w:szCs w:val="20"/>
              </w:rPr>
              <w:t>19</w:t>
            </w:r>
          </w:p>
        </w:tc>
        <w:tc>
          <w:tcPr>
            <w:tcW w:w="846" w:type="dxa"/>
            <w:shd w:val="clear" w:color="auto" w:fill="auto"/>
          </w:tcPr>
          <w:p w:rsidR="004F6003" w:rsidRPr="0005701B" w:rsidRDefault="004F6003" w:rsidP="00E9401F">
            <w:pPr>
              <w:pStyle w:val="NoSpacing"/>
              <w:jc w:val="center"/>
              <w:rPr>
                <w:sz w:val="20"/>
                <w:szCs w:val="20"/>
              </w:rPr>
            </w:pPr>
            <w:r w:rsidRPr="0005701B">
              <w:rPr>
                <w:sz w:val="20"/>
                <w:szCs w:val="20"/>
              </w:rPr>
              <w:t>27%</w:t>
            </w:r>
          </w:p>
        </w:tc>
        <w:tc>
          <w:tcPr>
            <w:tcW w:w="1404" w:type="dxa"/>
            <w:shd w:val="clear" w:color="auto" w:fill="auto"/>
          </w:tcPr>
          <w:p w:rsidR="004F6003" w:rsidRPr="0005701B" w:rsidRDefault="004F6003" w:rsidP="004F6003">
            <w:pPr>
              <w:pStyle w:val="NoSpacing"/>
              <w:jc w:val="center"/>
              <w:rPr>
                <w:sz w:val="20"/>
                <w:szCs w:val="20"/>
              </w:rPr>
            </w:pPr>
            <w:r>
              <w:rPr>
                <w:sz w:val="20"/>
                <w:szCs w:val="20"/>
              </w:rPr>
              <w:t>32</w:t>
            </w:r>
          </w:p>
        </w:tc>
        <w:tc>
          <w:tcPr>
            <w:tcW w:w="763" w:type="dxa"/>
            <w:gridSpan w:val="2"/>
            <w:shd w:val="clear" w:color="auto" w:fill="auto"/>
          </w:tcPr>
          <w:p w:rsidR="004F6003" w:rsidRPr="0005701B" w:rsidRDefault="004F6003" w:rsidP="00E9401F">
            <w:pPr>
              <w:pStyle w:val="NoSpacing"/>
              <w:jc w:val="center"/>
              <w:rPr>
                <w:sz w:val="20"/>
                <w:szCs w:val="20"/>
              </w:rPr>
            </w:pPr>
            <w:r w:rsidRPr="0005701B">
              <w:rPr>
                <w:sz w:val="20"/>
                <w:szCs w:val="20"/>
              </w:rPr>
              <w:t>45%</w:t>
            </w:r>
          </w:p>
        </w:tc>
        <w:tc>
          <w:tcPr>
            <w:tcW w:w="857" w:type="dxa"/>
            <w:shd w:val="clear" w:color="auto" w:fill="auto"/>
          </w:tcPr>
          <w:p w:rsidR="004F6003" w:rsidRPr="0005701B" w:rsidRDefault="004F6003" w:rsidP="004F6003">
            <w:pPr>
              <w:pStyle w:val="NoSpacing"/>
              <w:jc w:val="center"/>
              <w:rPr>
                <w:sz w:val="20"/>
                <w:szCs w:val="20"/>
              </w:rPr>
            </w:pPr>
            <w:r>
              <w:rPr>
                <w:sz w:val="20"/>
                <w:szCs w:val="20"/>
              </w:rPr>
              <w:t>9</w:t>
            </w:r>
          </w:p>
        </w:tc>
        <w:tc>
          <w:tcPr>
            <w:tcW w:w="640" w:type="dxa"/>
            <w:shd w:val="clear" w:color="auto" w:fill="auto"/>
          </w:tcPr>
          <w:p w:rsidR="004F6003" w:rsidRPr="0005701B" w:rsidRDefault="004F6003" w:rsidP="00E9401F">
            <w:pPr>
              <w:pStyle w:val="NoSpacing"/>
              <w:jc w:val="center"/>
              <w:rPr>
                <w:sz w:val="20"/>
                <w:szCs w:val="20"/>
              </w:rPr>
            </w:pPr>
            <w:r w:rsidRPr="0005701B">
              <w:rPr>
                <w:sz w:val="20"/>
                <w:szCs w:val="20"/>
              </w:rPr>
              <w:t>13%</w:t>
            </w:r>
          </w:p>
        </w:tc>
        <w:tc>
          <w:tcPr>
            <w:tcW w:w="980" w:type="dxa"/>
            <w:shd w:val="clear" w:color="auto" w:fill="auto"/>
          </w:tcPr>
          <w:p w:rsidR="004F6003" w:rsidRPr="0005701B" w:rsidRDefault="004F6003" w:rsidP="004F6003">
            <w:pPr>
              <w:pStyle w:val="NoSpacing"/>
              <w:jc w:val="center"/>
              <w:rPr>
                <w:sz w:val="20"/>
                <w:szCs w:val="20"/>
              </w:rPr>
            </w:pPr>
            <w:r>
              <w:rPr>
                <w:sz w:val="20"/>
                <w:szCs w:val="20"/>
              </w:rPr>
              <w:t>11</w:t>
            </w:r>
          </w:p>
        </w:tc>
        <w:tc>
          <w:tcPr>
            <w:tcW w:w="700" w:type="dxa"/>
            <w:shd w:val="clear" w:color="auto" w:fill="auto"/>
          </w:tcPr>
          <w:p w:rsidR="004F6003" w:rsidRPr="0005701B" w:rsidRDefault="004F6003" w:rsidP="00E9401F">
            <w:pPr>
              <w:pStyle w:val="NoSpacing"/>
              <w:jc w:val="center"/>
              <w:rPr>
                <w:sz w:val="20"/>
                <w:szCs w:val="20"/>
              </w:rPr>
            </w:pPr>
            <w:r w:rsidRPr="0005701B">
              <w:rPr>
                <w:sz w:val="20"/>
                <w:szCs w:val="20"/>
              </w:rPr>
              <w:t>15%</w:t>
            </w:r>
          </w:p>
        </w:tc>
      </w:tr>
      <w:tr w:rsidR="004F6003" w:rsidRPr="0005701B" w:rsidTr="004F6003">
        <w:trPr>
          <w:trHeight w:val="620"/>
          <w:jc w:val="center"/>
        </w:trPr>
        <w:tc>
          <w:tcPr>
            <w:tcW w:w="3972" w:type="dxa"/>
            <w:shd w:val="clear" w:color="auto" w:fill="auto"/>
          </w:tcPr>
          <w:p w:rsidR="004F6003" w:rsidRDefault="004F6003" w:rsidP="00E9401F">
            <w:pPr>
              <w:pStyle w:val="NoSpacing"/>
            </w:pPr>
            <w:r>
              <w:t>Overall, decision making through Participatory Governance at Merritt College results in improved student learning and achievement.</w:t>
            </w:r>
          </w:p>
        </w:tc>
        <w:tc>
          <w:tcPr>
            <w:tcW w:w="778" w:type="dxa"/>
            <w:shd w:val="clear" w:color="auto" w:fill="auto"/>
          </w:tcPr>
          <w:p w:rsidR="004F6003" w:rsidRPr="0005701B" w:rsidRDefault="004F6003" w:rsidP="004F6003">
            <w:pPr>
              <w:pStyle w:val="NoSpacing"/>
              <w:jc w:val="center"/>
              <w:rPr>
                <w:sz w:val="20"/>
                <w:szCs w:val="20"/>
              </w:rPr>
            </w:pPr>
            <w:r>
              <w:rPr>
                <w:sz w:val="20"/>
                <w:szCs w:val="20"/>
              </w:rPr>
              <w:t>11</w:t>
            </w:r>
          </w:p>
        </w:tc>
        <w:tc>
          <w:tcPr>
            <w:tcW w:w="846" w:type="dxa"/>
            <w:shd w:val="clear" w:color="auto" w:fill="auto"/>
          </w:tcPr>
          <w:p w:rsidR="004F6003" w:rsidRPr="0005701B" w:rsidRDefault="004F6003" w:rsidP="00E9401F">
            <w:pPr>
              <w:pStyle w:val="NoSpacing"/>
              <w:jc w:val="center"/>
              <w:rPr>
                <w:sz w:val="20"/>
                <w:szCs w:val="20"/>
              </w:rPr>
            </w:pPr>
            <w:r w:rsidRPr="0005701B">
              <w:rPr>
                <w:sz w:val="20"/>
                <w:szCs w:val="20"/>
              </w:rPr>
              <w:t>15%</w:t>
            </w:r>
          </w:p>
        </w:tc>
        <w:tc>
          <w:tcPr>
            <w:tcW w:w="1404" w:type="dxa"/>
            <w:shd w:val="clear" w:color="auto" w:fill="auto"/>
          </w:tcPr>
          <w:p w:rsidR="004F6003" w:rsidRPr="0005701B" w:rsidRDefault="004F6003" w:rsidP="004F6003">
            <w:pPr>
              <w:pStyle w:val="NoSpacing"/>
              <w:jc w:val="center"/>
              <w:rPr>
                <w:sz w:val="20"/>
                <w:szCs w:val="20"/>
              </w:rPr>
            </w:pPr>
            <w:r>
              <w:rPr>
                <w:sz w:val="20"/>
                <w:szCs w:val="20"/>
              </w:rPr>
              <w:t>29</w:t>
            </w:r>
          </w:p>
        </w:tc>
        <w:tc>
          <w:tcPr>
            <w:tcW w:w="763" w:type="dxa"/>
            <w:gridSpan w:val="2"/>
            <w:shd w:val="clear" w:color="auto" w:fill="auto"/>
          </w:tcPr>
          <w:p w:rsidR="004F6003" w:rsidRPr="0005701B" w:rsidRDefault="004F6003" w:rsidP="00E9401F">
            <w:pPr>
              <w:pStyle w:val="NoSpacing"/>
              <w:jc w:val="center"/>
              <w:rPr>
                <w:sz w:val="20"/>
                <w:szCs w:val="20"/>
              </w:rPr>
            </w:pPr>
            <w:r w:rsidRPr="0005701B">
              <w:rPr>
                <w:sz w:val="20"/>
                <w:szCs w:val="20"/>
              </w:rPr>
              <w:t>40%</w:t>
            </w:r>
          </w:p>
        </w:tc>
        <w:tc>
          <w:tcPr>
            <w:tcW w:w="857" w:type="dxa"/>
            <w:shd w:val="clear" w:color="auto" w:fill="auto"/>
          </w:tcPr>
          <w:p w:rsidR="004F6003" w:rsidRPr="0005701B" w:rsidRDefault="004F6003" w:rsidP="004F6003">
            <w:pPr>
              <w:pStyle w:val="NoSpacing"/>
              <w:jc w:val="center"/>
              <w:rPr>
                <w:sz w:val="20"/>
                <w:szCs w:val="20"/>
              </w:rPr>
            </w:pPr>
            <w:r>
              <w:rPr>
                <w:sz w:val="20"/>
                <w:szCs w:val="20"/>
              </w:rPr>
              <w:t>18</w:t>
            </w:r>
          </w:p>
        </w:tc>
        <w:tc>
          <w:tcPr>
            <w:tcW w:w="640" w:type="dxa"/>
            <w:shd w:val="clear" w:color="auto" w:fill="auto"/>
          </w:tcPr>
          <w:p w:rsidR="004F6003" w:rsidRPr="0005701B" w:rsidRDefault="004F6003" w:rsidP="00E9401F">
            <w:pPr>
              <w:pStyle w:val="NoSpacing"/>
              <w:jc w:val="center"/>
              <w:rPr>
                <w:sz w:val="20"/>
                <w:szCs w:val="20"/>
              </w:rPr>
            </w:pPr>
            <w:r w:rsidRPr="0005701B">
              <w:rPr>
                <w:sz w:val="20"/>
                <w:szCs w:val="20"/>
              </w:rPr>
              <w:t>25%</w:t>
            </w:r>
          </w:p>
        </w:tc>
        <w:tc>
          <w:tcPr>
            <w:tcW w:w="980" w:type="dxa"/>
            <w:shd w:val="clear" w:color="auto" w:fill="auto"/>
          </w:tcPr>
          <w:p w:rsidR="004F6003" w:rsidRPr="0005701B" w:rsidRDefault="004F6003" w:rsidP="004F6003">
            <w:pPr>
              <w:pStyle w:val="NoSpacing"/>
              <w:jc w:val="center"/>
              <w:rPr>
                <w:sz w:val="20"/>
                <w:szCs w:val="20"/>
              </w:rPr>
            </w:pPr>
            <w:r>
              <w:rPr>
                <w:sz w:val="20"/>
                <w:szCs w:val="20"/>
              </w:rPr>
              <w:t>14</w:t>
            </w:r>
          </w:p>
        </w:tc>
        <w:tc>
          <w:tcPr>
            <w:tcW w:w="700" w:type="dxa"/>
            <w:shd w:val="clear" w:color="auto" w:fill="auto"/>
          </w:tcPr>
          <w:p w:rsidR="004F6003" w:rsidRPr="0005701B" w:rsidRDefault="004F6003" w:rsidP="00E9401F">
            <w:pPr>
              <w:pStyle w:val="NoSpacing"/>
              <w:jc w:val="center"/>
              <w:rPr>
                <w:sz w:val="20"/>
                <w:szCs w:val="20"/>
              </w:rPr>
            </w:pPr>
            <w:r w:rsidRPr="0005701B">
              <w:rPr>
                <w:sz w:val="20"/>
                <w:szCs w:val="20"/>
              </w:rPr>
              <w:t>19%</w:t>
            </w:r>
          </w:p>
        </w:tc>
      </w:tr>
      <w:tr w:rsidR="004C6E85" w:rsidRPr="008C5B71" w:rsidTr="004F6003">
        <w:trPr>
          <w:trHeight w:val="270"/>
          <w:jc w:val="center"/>
        </w:trPr>
        <w:tc>
          <w:tcPr>
            <w:tcW w:w="3972" w:type="dxa"/>
            <w:shd w:val="clear" w:color="auto" w:fill="auto"/>
          </w:tcPr>
          <w:p w:rsidR="004C6E85" w:rsidRDefault="004C6E85" w:rsidP="00E9401F">
            <w:pPr>
              <w:pStyle w:val="NoSpacing"/>
            </w:pPr>
            <w:r>
              <w:t>Please rate the effectiveness of the collegial decision making process at Merritt College.</w:t>
            </w:r>
          </w:p>
        </w:tc>
        <w:tc>
          <w:tcPr>
            <w:tcW w:w="3746" w:type="dxa"/>
            <w:gridSpan w:val="4"/>
            <w:tcBorders>
              <w:right w:val="nil"/>
            </w:tcBorders>
            <w:shd w:val="clear" w:color="auto" w:fill="auto"/>
          </w:tcPr>
          <w:p w:rsidR="004C6E85" w:rsidRDefault="004C6E85" w:rsidP="00E9401F">
            <w:pPr>
              <w:pStyle w:val="NoSpacing"/>
              <w:jc w:val="center"/>
            </w:pPr>
            <w:r>
              <w:t>Average: 4.76</w:t>
            </w:r>
          </w:p>
        </w:tc>
        <w:tc>
          <w:tcPr>
            <w:tcW w:w="3222" w:type="dxa"/>
            <w:gridSpan w:val="5"/>
            <w:tcBorders>
              <w:left w:val="nil"/>
            </w:tcBorders>
            <w:shd w:val="clear" w:color="auto" w:fill="auto"/>
          </w:tcPr>
          <w:p w:rsidR="004C6E85" w:rsidRPr="008C5B71" w:rsidRDefault="004C6E85" w:rsidP="00E9401F">
            <w:pPr>
              <w:pStyle w:val="NoSpacing"/>
              <w:rPr>
                <w:sz w:val="16"/>
                <w:szCs w:val="16"/>
              </w:rPr>
            </w:pPr>
          </w:p>
        </w:tc>
      </w:tr>
    </w:tbl>
    <w:p w:rsidR="0014785D" w:rsidRDefault="004C6E85" w:rsidP="004C6E85">
      <w:pPr>
        <w:pStyle w:val="ListParagraph"/>
        <w:numPr>
          <w:ilvl w:val="0"/>
          <w:numId w:val="6"/>
        </w:numPr>
      </w:pPr>
      <w:r>
        <w:t>Collegial decision making had the lowest average effectiveness rating, 4.76, with a mode of 5.0.</w:t>
      </w:r>
    </w:p>
    <w:p w:rsidR="004C6E85" w:rsidRDefault="004C6E85" w:rsidP="004C6E85">
      <w:pPr>
        <w:pStyle w:val="ListParagraph"/>
        <w:numPr>
          <w:ilvl w:val="0"/>
          <w:numId w:val="6"/>
        </w:numPr>
      </w:pPr>
      <w:r>
        <w:t>Approximately half of respondent indicated the Collegial Decision making process completes or adheres to the above criteria at least some of the time, but a significant portion of the College may be unaware or unfamiliar with the collegial decision making process.</w:t>
      </w:r>
    </w:p>
    <w:p w:rsidR="004C6E85" w:rsidRDefault="004C6E85" w:rsidP="004C6E85">
      <w:pPr>
        <w:pStyle w:val="ListParagraph"/>
        <w:numPr>
          <w:ilvl w:val="0"/>
          <w:numId w:val="6"/>
        </w:numPr>
      </w:pPr>
      <w:r>
        <w:t xml:space="preserve">Low (1-5) effectiveness ratings were due to reasons including: low or reduced participation, trust and follow through of the shared governance model, </w:t>
      </w:r>
      <w:r w:rsidR="00E82CAC">
        <w:t>and perceptions of ultimate administrative power over decisions made.</w:t>
      </w:r>
    </w:p>
    <w:p w:rsidR="00F31E29" w:rsidRDefault="00E82CAC" w:rsidP="00F31E29">
      <w:pPr>
        <w:pStyle w:val="ListParagraph"/>
        <w:numPr>
          <w:ilvl w:val="0"/>
          <w:numId w:val="6"/>
        </w:numPr>
      </w:pPr>
      <w:r>
        <w:t>High (6-10) effectiveness ratings were due to recent efforts and improvements despite the continued issues of low participation and consistency in the process. Several comments noted the effort to involve all constituency groups.</w:t>
      </w:r>
    </w:p>
    <w:p w:rsidR="00E82CAC" w:rsidRPr="00516555" w:rsidRDefault="005577E8" w:rsidP="00E82CAC">
      <w:pPr>
        <w:pStyle w:val="Heading1"/>
        <w:rPr>
          <w:rStyle w:val="Heading3Char"/>
          <w:b/>
          <w:bCs/>
          <w:color w:val="3E3E67" w:themeColor="accent1" w:themeShade="BF"/>
        </w:rPr>
      </w:pPr>
      <w:r>
        <w:lastRenderedPageBreak/>
        <w:t xml:space="preserve">Common </w:t>
      </w:r>
      <w:r w:rsidR="00E82CAC">
        <w:t xml:space="preserve">Recommendations for </w:t>
      </w:r>
      <w:r w:rsidR="00E82CAC" w:rsidRPr="00262FCB">
        <w:t>Improvements</w:t>
      </w:r>
      <w:r w:rsidR="00E82CAC">
        <w:t>:</w:t>
      </w:r>
    </w:p>
    <w:p w:rsidR="00E82CAC" w:rsidRDefault="00E82CAC" w:rsidP="00E82CAC">
      <w:pPr>
        <w:pStyle w:val="ListParagraph"/>
        <w:numPr>
          <w:ilvl w:val="0"/>
          <w:numId w:val="7"/>
        </w:numPr>
      </w:pPr>
      <w:r>
        <w:t>Inspirational and effective leadership of the process, increased and wide-spread involvement, productive, effective and formalized meetings, persistent hope for continued improvement, training about the process and components</w:t>
      </w:r>
    </w:p>
    <w:p w:rsidR="00E82CAC" w:rsidRDefault="00E82CAC" w:rsidP="00E82CAC">
      <w:pPr>
        <w:pStyle w:val="Heading1"/>
      </w:pPr>
      <w:r>
        <w:t>Recurring Themes:</w:t>
      </w:r>
    </w:p>
    <w:p w:rsidR="00E82CAC" w:rsidRDefault="00E82CAC" w:rsidP="00E82CAC">
      <w:pPr>
        <w:pStyle w:val="ListParagraph"/>
        <w:numPr>
          <w:ilvl w:val="0"/>
          <w:numId w:val="7"/>
        </w:numPr>
      </w:pPr>
      <w:r>
        <w:t>Leadership and ownership of the collegial decision making process to ensure the process is followed.</w:t>
      </w:r>
    </w:p>
    <w:p w:rsidR="00E82CAC" w:rsidRDefault="00E82CAC" w:rsidP="00E82CAC">
      <w:pPr>
        <w:pStyle w:val="ListParagraph"/>
        <w:numPr>
          <w:ilvl w:val="0"/>
          <w:numId w:val="7"/>
        </w:numPr>
      </w:pPr>
      <w:r>
        <w:t>Increase new participants.</w:t>
      </w:r>
    </w:p>
    <w:p w:rsidR="00E82CAC" w:rsidRDefault="00E82CAC" w:rsidP="00E82CAC">
      <w:pPr>
        <w:pStyle w:val="ListParagraph"/>
        <w:numPr>
          <w:ilvl w:val="0"/>
          <w:numId w:val="7"/>
        </w:numPr>
      </w:pPr>
      <w:r>
        <w:t>Increase productivity and efficiency of meetings.</w:t>
      </w:r>
    </w:p>
    <w:p w:rsidR="00F31E29" w:rsidRDefault="001C5B8F" w:rsidP="00F31E29">
      <w:pPr>
        <w:pStyle w:val="Title"/>
      </w:pPr>
      <w:r>
        <w:t>Participatory Governance C</w:t>
      </w:r>
      <w:r w:rsidR="00F31E29">
        <w:t>ommittee Assessment</w:t>
      </w:r>
    </w:p>
    <w:p w:rsidR="00531416" w:rsidRDefault="00531416" w:rsidP="00D71344">
      <w:pPr>
        <w:pStyle w:val="Heading1"/>
      </w:pPr>
      <w:r>
        <w:t>Summary</w:t>
      </w:r>
    </w:p>
    <w:p w:rsidR="00D71344" w:rsidRDefault="00531416" w:rsidP="00D71344">
      <w:pPr>
        <w:pStyle w:val="ListParagraph"/>
        <w:numPr>
          <w:ilvl w:val="0"/>
          <w:numId w:val="10"/>
        </w:numPr>
      </w:pPr>
      <w:r>
        <w:t xml:space="preserve">The committees and governance exist to serve and support the entire campus, yet a significant portion of the campus is unclear </w:t>
      </w:r>
      <w:r w:rsidR="00D71344">
        <w:t>about</w:t>
      </w:r>
      <w:r>
        <w:t xml:space="preserve"> Participatory Committees, and each committee’s purpose, charge and/or activities.</w:t>
      </w:r>
    </w:p>
    <w:p w:rsidR="00D71344" w:rsidRDefault="00D71344" w:rsidP="00D71344">
      <w:pPr>
        <w:pStyle w:val="Heading1"/>
      </w:pPr>
      <w:r>
        <w:t>Common Themes and Recommendations for Improvement</w:t>
      </w:r>
    </w:p>
    <w:p w:rsidR="00531416" w:rsidRDefault="00531416" w:rsidP="00531416">
      <w:pPr>
        <w:pStyle w:val="ListParagraph"/>
        <w:numPr>
          <w:ilvl w:val="0"/>
          <w:numId w:val="10"/>
        </w:numPr>
      </w:pPr>
      <w:r>
        <w:t>Increase communication from the committees to the campus, both on what decisions were made and how they were made.</w:t>
      </w:r>
    </w:p>
    <w:p w:rsidR="00531416" w:rsidRDefault="00531416" w:rsidP="00531416">
      <w:pPr>
        <w:pStyle w:val="ListParagraph"/>
        <w:numPr>
          <w:ilvl w:val="0"/>
          <w:numId w:val="10"/>
        </w:numPr>
      </w:pPr>
      <w:r>
        <w:t>Increase and diversify committee participation</w:t>
      </w:r>
      <w:r w:rsidR="00D71344">
        <w:t xml:space="preserve"> and attendance.</w:t>
      </w:r>
    </w:p>
    <w:p w:rsidR="00D71344" w:rsidRDefault="00D71344" w:rsidP="00531416">
      <w:pPr>
        <w:pStyle w:val="ListParagraph"/>
        <w:numPr>
          <w:ilvl w:val="0"/>
          <w:numId w:val="10"/>
        </w:numPr>
      </w:pPr>
      <w:r>
        <w:t>Combine the Budget and Planning Committees.</w:t>
      </w:r>
    </w:p>
    <w:p w:rsidR="00531416" w:rsidRDefault="00D71344" w:rsidP="00531416">
      <w:pPr>
        <w:pStyle w:val="Heading1"/>
      </w:pPr>
      <w:r>
        <w:t>Co</w:t>
      </w:r>
      <w:r w:rsidR="00531416">
        <w:t>llege Council</w:t>
      </w:r>
    </w:p>
    <w:p w:rsidR="00531416" w:rsidRPr="00531416" w:rsidRDefault="00531416" w:rsidP="00531416"/>
    <w:tbl>
      <w:tblPr>
        <w:tblW w:w="11729"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gridCol w:w="834"/>
        <w:gridCol w:w="907"/>
        <w:gridCol w:w="1505"/>
        <w:gridCol w:w="819"/>
        <w:gridCol w:w="919"/>
        <w:gridCol w:w="686"/>
        <w:gridCol w:w="1051"/>
        <w:gridCol w:w="750"/>
      </w:tblGrid>
      <w:tr w:rsidR="004F6003" w:rsidRPr="004800BA" w:rsidTr="00D71344">
        <w:trPr>
          <w:trHeight w:val="168"/>
          <w:jc w:val="center"/>
        </w:trPr>
        <w:tc>
          <w:tcPr>
            <w:tcW w:w="4258" w:type="dxa"/>
            <w:shd w:val="clear" w:color="auto" w:fill="BFBFBF" w:themeFill="background1" w:themeFillShade="BF"/>
          </w:tcPr>
          <w:p w:rsidR="004F6003" w:rsidRPr="004800BA" w:rsidRDefault="00BC7C62" w:rsidP="004F6003">
            <w:pPr>
              <w:pStyle w:val="NoSpacing"/>
              <w:rPr>
                <w:b/>
              </w:rPr>
            </w:pPr>
            <w:r>
              <w:rPr>
                <w:b/>
              </w:rPr>
              <w:t>College</w:t>
            </w:r>
            <w:r w:rsidR="004F6003" w:rsidRPr="004800BA">
              <w:rPr>
                <w:b/>
              </w:rPr>
              <w:t xml:space="preserve"> </w:t>
            </w:r>
            <w:r w:rsidR="004F6003">
              <w:rPr>
                <w:b/>
              </w:rPr>
              <w:t>Council</w:t>
            </w:r>
          </w:p>
        </w:tc>
        <w:tc>
          <w:tcPr>
            <w:tcW w:w="1741" w:type="dxa"/>
            <w:gridSpan w:val="2"/>
            <w:shd w:val="clear" w:color="auto" w:fill="BFBFBF" w:themeFill="background1" w:themeFillShade="BF"/>
          </w:tcPr>
          <w:p w:rsidR="004F6003" w:rsidRPr="004800BA" w:rsidRDefault="004F6003" w:rsidP="00E9401F">
            <w:pPr>
              <w:pStyle w:val="NoSpacing"/>
              <w:rPr>
                <w:b/>
              </w:rPr>
            </w:pPr>
            <w:r>
              <w:rPr>
                <w:b/>
              </w:rPr>
              <w:t>Always/Most of the Time</w:t>
            </w:r>
          </w:p>
        </w:tc>
        <w:tc>
          <w:tcPr>
            <w:tcW w:w="2324" w:type="dxa"/>
            <w:gridSpan w:val="2"/>
            <w:shd w:val="clear" w:color="auto" w:fill="BFBFBF" w:themeFill="background1" w:themeFillShade="BF"/>
          </w:tcPr>
          <w:p w:rsidR="004F6003" w:rsidRPr="004800BA" w:rsidRDefault="004F6003" w:rsidP="00E9401F">
            <w:pPr>
              <w:pStyle w:val="NoSpacing"/>
              <w:rPr>
                <w:b/>
              </w:rPr>
            </w:pPr>
            <w:r>
              <w:rPr>
                <w:b/>
              </w:rPr>
              <w:t>Occasionally/Some of the Time</w:t>
            </w:r>
          </w:p>
        </w:tc>
        <w:tc>
          <w:tcPr>
            <w:tcW w:w="1605" w:type="dxa"/>
            <w:gridSpan w:val="2"/>
            <w:shd w:val="clear" w:color="auto" w:fill="BFBFBF" w:themeFill="background1" w:themeFillShade="BF"/>
          </w:tcPr>
          <w:p w:rsidR="004F6003" w:rsidRPr="004800BA" w:rsidRDefault="004F6003" w:rsidP="00E9401F">
            <w:pPr>
              <w:pStyle w:val="NoSpacing"/>
              <w:rPr>
                <w:b/>
              </w:rPr>
            </w:pPr>
            <w:r>
              <w:rPr>
                <w:b/>
              </w:rPr>
              <w:t>Rarely/Never</w:t>
            </w:r>
          </w:p>
        </w:tc>
        <w:tc>
          <w:tcPr>
            <w:tcW w:w="1801" w:type="dxa"/>
            <w:gridSpan w:val="2"/>
            <w:shd w:val="clear" w:color="auto" w:fill="BFBFBF" w:themeFill="background1" w:themeFillShade="BF"/>
          </w:tcPr>
          <w:p w:rsidR="004F6003" w:rsidRPr="004800BA" w:rsidRDefault="004F6003" w:rsidP="00E9401F">
            <w:pPr>
              <w:pStyle w:val="NoSpacing"/>
              <w:rPr>
                <w:b/>
              </w:rPr>
            </w:pPr>
            <w:r>
              <w:rPr>
                <w:b/>
              </w:rPr>
              <w:t>I don’t know.</w:t>
            </w:r>
          </w:p>
        </w:tc>
      </w:tr>
      <w:tr w:rsidR="00BC7C62" w:rsidRPr="0005701B" w:rsidTr="00D71344">
        <w:trPr>
          <w:trHeight w:val="92"/>
          <w:jc w:val="center"/>
        </w:trPr>
        <w:tc>
          <w:tcPr>
            <w:tcW w:w="4258" w:type="dxa"/>
            <w:shd w:val="clear" w:color="auto" w:fill="auto"/>
          </w:tcPr>
          <w:p w:rsidR="004F6003" w:rsidRDefault="004F6003" w:rsidP="00E9401F">
            <w:pPr>
              <w:pStyle w:val="NoSpacing"/>
            </w:pPr>
            <w:r>
              <w:t>All constituency groups are able to bring requests for policy and procedural changes to the College Council for discussion.</w:t>
            </w:r>
          </w:p>
        </w:tc>
        <w:tc>
          <w:tcPr>
            <w:tcW w:w="834" w:type="dxa"/>
            <w:shd w:val="clear" w:color="auto" w:fill="auto"/>
          </w:tcPr>
          <w:p w:rsidR="004F6003" w:rsidRPr="0005701B" w:rsidRDefault="004F6003" w:rsidP="00E9401F">
            <w:pPr>
              <w:pStyle w:val="NoSpacing"/>
              <w:jc w:val="center"/>
              <w:rPr>
                <w:sz w:val="20"/>
                <w:szCs w:val="20"/>
              </w:rPr>
            </w:pPr>
            <w:r>
              <w:rPr>
                <w:sz w:val="20"/>
                <w:szCs w:val="20"/>
              </w:rPr>
              <w:t>21</w:t>
            </w:r>
          </w:p>
        </w:tc>
        <w:tc>
          <w:tcPr>
            <w:tcW w:w="907" w:type="dxa"/>
            <w:shd w:val="clear" w:color="auto" w:fill="auto"/>
          </w:tcPr>
          <w:p w:rsidR="004F6003" w:rsidRPr="0005701B" w:rsidRDefault="004F6003" w:rsidP="00E9401F">
            <w:pPr>
              <w:pStyle w:val="NoSpacing"/>
              <w:jc w:val="center"/>
              <w:rPr>
                <w:sz w:val="20"/>
                <w:szCs w:val="20"/>
              </w:rPr>
            </w:pPr>
            <w:r>
              <w:rPr>
                <w:sz w:val="20"/>
                <w:szCs w:val="20"/>
              </w:rPr>
              <w:t>30%</w:t>
            </w:r>
          </w:p>
        </w:tc>
        <w:tc>
          <w:tcPr>
            <w:tcW w:w="1505" w:type="dxa"/>
            <w:shd w:val="clear" w:color="auto" w:fill="auto"/>
          </w:tcPr>
          <w:p w:rsidR="004F6003" w:rsidRPr="0005701B" w:rsidRDefault="004F6003" w:rsidP="00E9401F">
            <w:pPr>
              <w:pStyle w:val="NoSpacing"/>
              <w:jc w:val="center"/>
              <w:rPr>
                <w:sz w:val="20"/>
                <w:szCs w:val="20"/>
              </w:rPr>
            </w:pPr>
            <w:r>
              <w:rPr>
                <w:sz w:val="20"/>
                <w:szCs w:val="20"/>
              </w:rPr>
              <w:t>21</w:t>
            </w:r>
          </w:p>
        </w:tc>
        <w:tc>
          <w:tcPr>
            <w:tcW w:w="818" w:type="dxa"/>
            <w:shd w:val="clear" w:color="auto" w:fill="auto"/>
          </w:tcPr>
          <w:p w:rsidR="004F6003" w:rsidRPr="0005701B" w:rsidRDefault="004F6003" w:rsidP="00E9401F">
            <w:pPr>
              <w:pStyle w:val="NoSpacing"/>
              <w:jc w:val="center"/>
              <w:rPr>
                <w:sz w:val="20"/>
                <w:szCs w:val="20"/>
              </w:rPr>
            </w:pPr>
            <w:r>
              <w:rPr>
                <w:sz w:val="20"/>
                <w:szCs w:val="20"/>
              </w:rPr>
              <w:t>30%</w:t>
            </w:r>
          </w:p>
        </w:tc>
        <w:tc>
          <w:tcPr>
            <w:tcW w:w="919" w:type="dxa"/>
            <w:shd w:val="clear" w:color="auto" w:fill="auto"/>
          </w:tcPr>
          <w:p w:rsidR="004F6003" w:rsidRPr="0005701B" w:rsidRDefault="004F6003" w:rsidP="00E9401F">
            <w:pPr>
              <w:pStyle w:val="NoSpacing"/>
              <w:jc w:val="center"/>
              <w:rPr>
                <w:sz w:val="20"/>
                <w:szCs w:val="20"/>
              </w:rPr>
            </w:pPr>
            <w:r>
              <w:rPr>
                <w:sz w:val="20"/>
                <w:szCs w:val="20"/>
              </w:rPr>
              <w:t>5</w:t>
            </w:r>
          </w:p>
        </w:tc>
        <w:tc>
          <w:tcPr>
            <w:tcW w:w="686" w:type="dxa"/>
            <w:shd w:val="clear" w:color="auto" w:fill="auto"/>
          </w:tcPr>
          <w:p w:rsidR="004F6003" w:rsidRPr="0005701B" w:rsidRDefault="004F6003" w:rsidP="00E9401F">
            <w:pPr>
              <w:pStyle w:val="NoSpacing"/>
              <w:jc w:val="center"/>
              <w:rPr>
                <w:sz w:val="20"/>
                <w:szCs w:val="20"/>
              </w:rPr>
            </w:pPr>
            <w:r>
              <w:rPr>
                <w:sz w:val="20"/>
                <w:szCs w:val="20"/>
              </w:rPr>
              <w:t>7%</w:t>
            </w:r>
          </w:p>
        </w:tc>
        <w:tc>
          <w:tcPr>
            <w:tcW w:w="1051" w:type="dxa"/>
            <w:shd w:val="clear" w:color="auto" w:fill="auto"/>
          </w:tcPr>
          <w:p w:rsidR="004F6003" w:rsidRPr="0005701B" w:rsidRDefault="004F6003" w:rsidP="00E9401F">
            <w:pPr>
              <w:pStyle w:val="NoSpacing"/>
              <w:jc w:val="center"/>
              <w:rPr>
                <w:sz w:val="20"/>
                <w:szCs w:val="20"/>
              </w:rPr>
            </w:pPr>
            <w:r>
              <w:rPr>
                <w:sz w:val="20"/>
                <w:szCs w:val="20"/>
              </w:rPr>
              <w:t>24</w:t>
            </w:r>
          </w:p>
        </w:tc>
        <w:tc>
          <w:tcPr>
            <w:tcW w:w="750" w:type="dxa"/>
            <w:shd w:val="clear" w:color="auto" w:fill="auto"/>
          </w:tcPr>
          <w:p w:rsidR="004F6003" w:rsidRPr="0005701B" w:rsidRDefault="004F6003" w:rsidP="00E9401F">
            <w:pPr>
              <w:pStyle w:val="NoSpacing"/>
              <w:jc w:val="center"/>
              <w:rPr>
                <w:sz w:val="20"/>
                <w:szCs w:val="20"/>
              </w:rPr>
            </w:pPr>
            <w:r>
              <w:rPr>
                <w:sz w:val="20"/>
                <w:szCs w:val="20"/>
              </w:rPr>
              <w:t>34%</w:t>
            </w:r>
          </w:p>
        </w:tc>
      </w:tr>
      <w:tr w:rsidR="00BC7C62" w:rsidRPr="0005701B" w:rsidTr="00D71344">
        <w:trPr>
          <w:trHeight w:val="98"/>
          <w:jc w:val="center"/>
        </w:trPr>
        <w:tc>
          <w:tcPr>
            <w:tcW w:w="4258" w:type="dxa"/>
            <w:shd w:val="clear" w:color="auto" w:fill="auto"/>
          </w:tcPr>
          <w:p w:rsidR="004F6003" w:rsidRDefault="004F6003" w:rsidP="00E9401F">
            <w:pPr>
              <w:pStyle w:val="NoSpacing"/>
            </w:pPr>
            <w:r>
              <w:t>The College Council obtains input from all constituency groups on policy and procedural changes.</w:t>
            </w:r>
          </w:p>
        </w:tc>
        <w:tc>
          <w:tcPr>
            <w:tcW w:w="834" w:type="dxa"/>
            <w:shd w:val="clear" w:color="auto" w:fill="auto"/>
          </w:tcPr>
          <w:p w:rsidR="004F6003" w:rsidRPr="0005701B" w:rsidRDefault="004F6003" w:rsidP="00E9401F">
            <w:pPr>
              <w:pStyle w:val="NoSpacing"/>
              <w:jc w:val="center"/>
              <w:rPr>
                <w:sz w:val="20"/>
                <w:szCs w:val="20"/>
              </w:rPr>
            </w:pPr>
            <w:r>
              <w:rPr>
                <w:sz w:val="20"/>
                <w:szCs w:val="20"/>
              </w:rPr>
              <w:t>17</w:t>
            </w:r>
          </w:p>
        </w:tc>
        <w:tc>
          <w:tcPr>
            <w:tcW w:w="907" w:type="dxa"/>
            <w:shd w:val="clear" w:color="auto" w:fill="auto"/>
          </w:tcPr>
          <w:p w:rsidR="004F6003" w:rsidRPr="0005701B" w:rsidRDefault="004F6003" w:rsidP="00E9401F">
            <w:pPr>
              <w:pStyle w:val="NoSpacing"/>
              <w:jc w:val="center"/>
              <w:rPr>
                <w:sz w:val="20"/>
                <w:szCs w:val="20"/>
              </w:rPr>
            </w:pPr>
            <w:r>
              <w:rPr>
                <w:sz w:val="20"/>
                <w:szCs w:val="20"/>
              </w:rPr>
              <w:t>24%</w:t>
            </w:r>
          </w:p>
        </w:tc>
        <w:tc>
          <w:tcPr>
            <w:tcW w:w="1505" w:type="dxa"/>
            <w:shd w:val="clear" w:color="auto" w:fill="auto"/>
          </w:tcPr>
          <w:p w:rsidR="004F6003" w:rsidRPr="0005701B" w:rsidRDefault="004F6003" w:rsidP="00E9401F">
            <w:pPr>
              <w:pStyle w:val="NoSpacing"/>
              <w:jc w:val="center"/>
              <w:rPr>
                <w:sz w:val="20"/>
                <w:szCs w:val="20"/>
              </w:rPr>
            </w:pPr>
            <w:r>
              <w:rPr>
                <w:sz w:val="20"/>
                <w:szCs w:val="20"/>
              </w:rPr>
              <w:t>22</w:t>
            </w:r>
          </w:p>
        </w:tc>
        <w:tc>
          <w:tcPr>
            <w:tcW w:w="818" w:type="dxa"/>
            <w:shd w:val="clear" w:color="auto" w:fill="auto"/>
          </w:tcPr>
          <w:p w:rsidR="004F6003" w:rsidRPr="0005701B" w:rsidRDefault="004F6003" w:rsidP="00E9401F">
            <w:pPr>
              <w:pStyle w:val="NoSpacing"/>
              <w:jc w:val="center"/>
              <w:rPr>
                <w:sz w:val="20"/>
                <w:szCs w:val="20"/>
              </w:rPr>
            </w:pPr>
            <w:r>
              <w:rPr>
                <w:sz w:val="20"/>
                <w:szCs w:val="20"/>
              </w:rPr>
              <w:t>31%</w:t>
            </w:r>
          </w:p>
        </w:tc>
        <w:tc>
          <w:tcPr>
            <w:tcW w:w="919" w:type="dxa"/>
            <w:shd w:val="clear" w:color="auto" w:fill="auto"/>
          </w:tcPr>
          <w:p w:rsidR="004F6003" w:rsidRPr="0005701B" w:rsidRDefault="004F6003" w:rsidP="00E9401F">
            <w:pPr>
              <w:pStyle w:val="NoSpacing"/>
              <w:jc w:val="center"/>
              <w:rPr>
                <w:sz w:val="20"/>
                <w:szCs w:val="20"/>
              </w:rPr>
            </w:pPr>
            <w:r>
              <w:rPr>
                <w:sz w:val="20"/>
                <w:szCs w:val="20"/>
              </w:rPr>
              <w:t>6</w:t>
            </w:r>
          </w:p>
        </w:tc>
        <w:tc>
          <w:tcPr>
            <w:tcW w:w="686" w:type="dxa"/>
            <w:shd w:val="clear" w:color="auto" w:fill="auto"/>
          </w:tcPr>
          <w:p w:rsidR="004F6003" w:rsidRPr="0005701B" w:rsidRDefault="00BC7C62" w:rsidP="00E9401F">
            <w:pPr>
              <w:pStyle w:val="NoSpacing"/>
              <w:jc w:val="center"/>
              <w:rPr>
                <w:sz w:val="20"/>
                <w:szCs w:val="20"/>
              </w:rPr>
            </w:pPr>
            <w:r>
              <w:rPr>
                <w:sz w:val="20"/>
                <w:szCs w:val="20"/>
              </w:rPr>
              <w:t>8%</w:t>
            </w:r>
          </w:p>
        </w:tc>
        <w:tc>
          <w:tcPr>
            <w:tcW w:w="1051" w:type="dxa"/>
            <w:shd w:val="clear" w:color="auto" w:fill="auto"/>
          </w:tcPr>
          <w:p w:rsidR="004F6003" w:rsidRPr="0005701B" w:rsidRDefault="004F6003" w:rsidP="00E9401F">
            <w:pPr>
              <w:pStyle w:val="NoSpacing"/>
              <w:jc w:val="center"/>
              <w:rPr>
                <w:sz w:val="20"/>
                <w:szCs w:val="20"/>
              </w:rPr>
            </w:pPr>
            <w:r>
              <w:rPr>
                <w:sz w:val="20"/>
                <w:szCs w:val="20"/>
              </w:rPr>
              <w:t>26</w:t>
            </w:r>
          </w:p>
        </w:tc>
        <w:tc>
          <w:tcPr>
            <w:tcW w:w="750" w:type="dxa"/>
            <w:shd w:val="clear" w:color="auto" w:fill="auto"/>
          </w:tcPr>
          <w:p w:rsidR="004F6003" w:rsidRPr="0005701B" w:rsidRDefault="00BC7C62" w:rsidP="00E9401F">
            <w:pPr>
              <w:pStyle w:val="NoSpacing"/>
              <w:jc w:val="center"/>
              <w:rPr>
                <w:sz w:val="20"/>
                <w:szCs w:val="20"/>
              </w:rPr>
            </w:pPr>
            <w:r>
              <w:rPr>
                <w:sz w:val="20"/>
                <w:szCs w:val="20"/>
              </w:rPr>
              <w:t>30%</w:t>
            </w:r>
          </w:p>
        </w:tc>
      </w:tr>
      <w:tr w:rsidR="00BC7C62" w:rsidRPr="0005701B" w:rsidTr="00D71344">
        <w:trPr>
          <w:trHeight w:val="526"/>
          <w:jc w:val="center"/>
        </w:trPr>
        <w:tc>
          <w:tcPr>
            <w:tcW w:w="4258" w:type="dxa"/>
            <w:shd w:val="clear" w:color="auto" w:fill="auto"/>
          </w:tcPr>
          <w:p w:rsidR="004F6003" w:rsidRDefault="004F6003" w:rsidP="00E9401F">
            <w:pPr>
              <w:pStyle w:val="NoSpacing"/>
            </w:pPr>
            <w:r>
              <w:lastRenderedPageBreak/>
              <w:t>The College Council provides adequate communication to the College community about policy and procedural changes and college-wide initiatives.</w:t>
            </w:r>
          </w:p>
        </w:tc>
        <w:tc>
          <w:tcPr>
            <w:tcW w:w="834" w:type="dxa"/>
            <w:shd w:val="clear" w:color="auto" w:fill="auto"/>
          </w:tcPr>
          <w:p w:rsidR="004F6003" w:rsidRPr="0005701B" w:rsidRDefault="00BC7C62" w:rsidP="00E9401F">
            <w:pPr>
              <w:pStyle w:val="NoSpacing"/>
              <w:jc w:val="center"/>
              <w:rPr>
                <w:sz w:val="20"/>
                <w:szCs w:val="20"/>
              </w:rPr>
            </w:pPr>
            <w:r>
              <w:rPr>
                <w:sz w:val="20"/>
                <w:szCs w:val="20"/>
              </w:rPr>
              <w:t>11</w:t>
            </w:r>
          </w:p>
        </w:tc>
        <w:tc>
          <w:tcPr>
            <w:tcW w:w="907" w:type="dxa"/>
            <w:shd w:val="clear" w:color="auto" w:fill="auto"/>
          </w:tcPr>
          <w:p w:rsidR="004F6003" w:rsidRPr="0005701B" w:rsidRDefault="00BC7C62" w:rsidP="00E9401F">
            <w:pPr>
              <w:pStyle w:val="NoSpacing"/>
              <w:jc w:val="center"/>
              <w:rPr>
                <w:sz w:val="20"/>
                <w:szCs w:val="20"/>
              </w:rPr>
            </w:pPr>
            <w:r>
              <w:rPr>
                <w:sz w:val="20"/>
                <w:szCs w:val="20"/>
              </w:rPr>
              <w:t>16%</w:t>
            </w:r>
          </w:p>
        </w:tc>
        <w:tc>
          <w:tcPr>
            <w:tcW w:w="1505" w:type="dxa"/>
            <w:shd w:val="clear" w:color="auto" w:fill="auto"/>
          </w:tcPr>
          <w:p w:rsidR="004F6003" w:rsidRPr="0005701B" w:rsidRDefault="00BC7C62" w:rsidP="00E9401F">
            <w:pPr>
              <w:pStyle w:val="NoSpacing"/>
              <w:jc w:val="center"/>
              <w:rPr>
                <w:sz w:val="20"/>
                <w:szCs w:val="20"/>
              </w:rPr>
            </w:pPr>
            <w:r>
              <w:rPr>
                <w:sz w:val="20"/>
                <w:szCs w:val="20"/>
              </w:rPr>
              <w:t>25</w:t>
            </w:r>
          </w:p>
        </w:tc>
        <w:tc>
          <w:tcPr>
            <w:tcW w:w="818" w:type="dxa"/>
            <w:shd w:val="clear" w:color="auto" w:fill="auto"/>
          </w:tcPr>
          <w:p w:rsidR="004F6003" w:rsidRPr="0005701B" w:rsidRDefault="00BC7C62" w:rsidP="00E9401F">
            <w:pPr>
              <w:pStyle w:val="NoSpacing"/>
              <w:jc w:val="center"/>
              <w:rPr>
                <w:sz w:val="20"/>
                <w:szCs w:val="20"/>
              </w:rPr>
            </w:pPr>
            <w:r>
              <w:rPr>
                <w:sz w:val="20"/>
                <w:szCs w:val="20"/>
              </w:rPr>
              <w:t>35%</w:t>
            </w:r>
          </w:p>
        </w:tc>
        <w:tc>
          <w:tcPr>
            <w:tcW w:w="919" w:type="dxa"/>
            <w:shd w:val="clear" w:color="auto" w:fill="auto"/>
          </w:tcPr>
          <w:p w:rsidR="004F6003" w:rsidRPr="0005701B" w:rsidRDefault="00BC7C62" w:rsidP="00E9401F">
            <w:pPr>
              <w:pStyle w:val="NoSpacing"/>
              <w:jc w:val="center"/>
              <w:rPr>
                <w:sz w:val="20"/>
                <w:szCs w:val="20"/>
              </w:rPr>
            </w:pPr>
            <w:r>
              <w:rPr>
                <w:sz w:val="20"/>
                <w:szCs w:val="20"/>
              </w:rPr>
              <w:t>14</w:t>
            </w:r>
          </w:p>
        </w:tc>
        <w:tc>
          <w:tcPr>
            <w:tcW w:w="686" w:type="dxa"/>
            <w:shd w:val="clear" w:color="auto" w:fill="auto"/>
          </w:tcPr>
          <w:p w:rsidR="004F6003" w:rsidRPr="0005701B" w:rsidRDefault="00BC7C62" w:rsidP="00E9401F">
            <w:pPr>
              <w:pStyle w:val="NoSpacing"/>
              <w:jc w:val="center"/>
              <w:rPr>
                <w:sz w:val="20"/>
                <w:szCs w:val="20"/>
              </w:rPr>
            </w:pPr>
            <w:r>
              <w:rPr>
                <w:sz w:val="20"/>
                <w:szCs w:val="20"/>
              </w:rPr>
              <w:t>20%</w:t>
            </w:r>
          </w:p>
        </w:tc>
        <w:tc>
          <w:tcPr>
            <w:tcW w:w="1051" w:type="dxa"/>
            <w:shd w:val="clear" w:color="auto" w:fill="auto"/>
          </w:tcPr>
          <w:p w:rsidR="004F6003" w:rsidRPr="0005701B" w:rsidRDefault="00BC7C62" w:rsidP="00E9401F">
            <w:pPr>
              <w:pStyle w:val="NoSpacing"/>
              <w:jc w:val="center"/>
              <w:rPr>
                <w:sz w:val="20"/>
                <w:szCs w:val="20"/>
              </w:rPr>
            </w:pPr>
            <w:r>
              <w:rPr>
                <w:sz w:val="20"/>
                <w:szCs w:val="20"/>
              </w:rPr>
              <w:t>21</w:t>
            </w:r>
          </w:p>
        </w:tc>
        <w:tc>
          <w:tcPr>
            <w:tcW w:w="750" w:type="dxa"/>
            <w:shd w:val="clear" w:color="auto" w:fill="auto"/>
          </w:tcPr>
          <w:p w:rsidR="004F6003" w:rsidRPr="0005701B" w:rsidRDefault="00BC7C62" w:rsidP="00E9401F">
            <w:pPr>
              <w:pStyle w:val="NoSpacing"/>
              <w:jc w:val="center"/>
              <w:rPr>
                <w:sz w:val="20"/>
                <w:szCs w:val="20"/>
              </w:rPr>
            </w:pPr>
            <w:r>
              <w:rPr>
                <w:sz w:val="20"/>
                <w:szCs w:val="20"/>
              </w:rPr>
              <w:t>30%</w:t>
            </w:r>
          </w:p>
        </w:tc>
      </w:tr>
      <w:tr w:rsidR="00BC7C62" w:rsidRPr="0005701B" w:rsidTr="00D71344">
        <w:trPr>
          <w:trHeight w:val="240"/>
          <w:jc w:val="center"/>
        </w:trPr>
        <w:tc>
          <w:tcPr>
            <w:tcW w:w="4258" w:type="dxa"/>
            <w:shd w:val="clear" w:color="auto" w:fill="auto"/>
          </w:tcPr>
          <w:p w:rsidR="004F6003" w:rsidRDefault="004F6003" w:rsidP="00E9401F">
            <w:pPr>
              <w:pStyle w:val="NoSpacing"/>
            </w:pPr>
            <w:r>
              <w:t>The College Council facilitates the shared governance model at Merritt College</w:t>
            </w:r>
          </w:p>
        </w:tc>
        <w:tc>
          <w:tcPr>
            <w:tcW w:w="834" w:type="dxa"/>
            <w:shd w:val="clear" w:color="auto" w:fill="auto"/>
          </w:tcPr>
          <w:p w:rsidR="004F6003" w:rsidRPr="0005701B" w:rsidRDefault="00BC7C62" w:rsidP="00E9401F">
            <w:pPr>
              <w:pStyle w:val="NoSpacing"/>
              <w:jc w:val="center"/>
              <w:rPr>
                <w:sz w:val="20"/>
                <w:szCs w:val="20"/>
              </w:rPr>
            </w:pPr>
            <w:r>
              <w:rPr>
                <w:sz w:val="20"/>
                <w:szCs w:val="20"/>
              </w:rPr>
              <w:t>14</w:t>
            </w:r>
          </w:p>
        </w:tc>
        <w:tc>
          <w:tcPr>
            <w:tcW w:w="907" w:type="dxa"/>
            <w:shd w:val="clear" w:color="auto" w:fill="auto"/>
          </w:tcPr>
          <w:p w:rsidR="004F6003" w:rsidRPr="0005701B" w:rsidRDefault="00BC7C62" w:rsidP="00E9401F">
            <w:pPr>
              <w:pStyle w:val="NoSpacing"/>
              <w:jc w:val="center"/>
              <w:rPr>
                <w:sz w:val="20"/>
                <w:szCs w:val="20"/>
              </w:rPr>
            </w:pPr>
            <w:r>
              <w:rPr>
                <w:sz w:val="20"/>
                <w:szCs w:val="20"/>
              </w:rPr>
              <w:t>20%</w:t>
            </w:r>
          </w:p>
        </w:tc>
        <w:tc>
          <w:tcPr>
            <w:tcW w:w="1505" w:type="dxa"/>
            <w:shd w:val="clear" w:color="auto" w:fill="auto"/>
          </w:tcPr>
          <w:p w:rsidR="004F6003" w:rsidRPr="0005701B" w:rsidRDefault="00BC7C62" w:rsidP="00E9401F">
            <w:pPr>
              <w:pStyle w:val="NoSpacing"/>
              <w:jc w:val="center"/>
              <w:rPr>
                <w:sz w:val="20"/>
                <w:szCs w:val="20"/>
              </w:rPr>
            </w:pPr>
            <w:r>
              <w:rPr>
                <w:sz w:val="20"/>
                <w:szCs w:val="20"/>
              </w:rPr>
              <w:t>23</w:t>
            </w:r>
          </w:p>
        </w:tc>
        <w:tc>
          <w:tcPr>
            <w:tcW w:w="818" w:type="dxa"/>
            <w:shd w:val="clear" w:color="auto" w:fill="auto"/>
          </w:tcPr>
          <w:p w:rsidR="004F6003" w:rsidRPr="0005701B" w:rsidRDefault="00BC7C62" w:rsidP="00E9401F">
            <w:pPr>
              <w:pStyle w:val="NoSpacing"/>
              <w:jc w:val="center"/>
              <w:rPr>
                <w:sz w:val="20"/>
                <w:szCs w:val="20"/>
              </w:rPr>
            </w:pPr>
            <w:r>
              <w:rPr>
                <w:sz w:val="20"/>
                <w:szCs w:val="20"/>
              </w:rPr>
              <w:t>32%</w:t>
            </w:r>
          </w:p>
        </w:tc>
        <w:tc>
          <w:tcPr>
            <w:tcW w:w="919" w:type="dxa"/>
            <w:shd w:val="clear" w:color="auto" w:fill="auto"/>
          </w:tcPr>
          <w:p w:rsidR="004F6003" w:rsidRPr="0005701B" w:rsidRDefault="00BC7C62" w:rsidP="00E9401F">
            <w:pPr>
              <w:pStyle w:val="NoSpacing"/>
              <w:jc w:val="center"/>
              <w:rPr>
                <w:sz w:val="20"/>
                <w:szCs w:val="20"/>
              </w:rPr>
            </w:pPr>
            <w:r>
              <w:rPr>
                <w:sz w:val="20"/>
                <w:szCs w:val="20"/>
              </w:rPr>
              <w:t>12</w:t>
            </w:r>
          </w:p>
        </w:tc>
        <w:tc>
          <w:tcPr>
            <w:tcW w:w="686" w:type="dxa"/>
            <w:shd w:val="clear" w:color="auto" w:fill="auto"/>
          </w:tcPr>
          <w:p w:rsidR="004F6003" w:rsidRPr="0005701B" w:rsidRDefault="00BC7C62" w:rsidP="00E9401F">
            <w:pPr>
              <w:pStyle w:val="NoSpacing"/>
              <w:jc w:val="center"/>
              <w:rPr>
                <w:sz w:val="20"/>
                <w:szCs w:val="20"/>
              </w:rPr>
            </w:pPr>
            <w:r>
              <w:rPr>
                <w:sz w:val="20"/>
                <w:szCs w:val="20"/>
              </w:rPr>
              <w:t>17%</w:t>
            </w:r>
          </w:p>
        </w:tc>
        <w:tc>
          <w:tcPr>
            <w:tcW w:w="1051" w:type="dxa"/>
            <w:shd w:val="clear" w:color="auto" w:fill="auto"/>
          </w:tcPr>
          <w:p w:rsidR="004F6003" w:rsidRPr="0005701B" w:rsidRDefault="00BC7C62" w:rsidP="00E9401F">
            <w:pPr>
              <w:pStyle w:val="NoSpacing"/>
              <w:jc w:val="center"/>
              <w:rPr>
                <w:sz w:val="20"/>
                <w:szCs w:val="20"/>
              </w:rPr>
            </w:pPr>
            <w:r>
              <w:rPr>
                <w:sz w:val="20"/>
                <w:szCs w:val="20"/>
              </w:rPr>
              <w:t>22</w:t>
            </w:r>
          </w:p>
        </w:tc>
        <w:tc>
          <w:tcPr>
            <w:tcW w:w="750" w:type="dxa"/>
            <w:shd w:val="clear" w:color="auto" w:fill="auto"/>
          </w:tcPr>
          <w:p w:rsidR="004F6003" w:rsidRPr="0005701B" w:rsidRDefault="00BC7C62" w:rsidP="00E9401F">
            <w:pPr>
              <w:pStyle w:val="NoSpacing"/>
              <w:jc w:val="center"/>
              <w:rPr>
                <w:sz w:val="20"/>
                <w:szCs w:val="20"/>
              </w:rPr>
            </w:pPr>
            <w:r>
              <w:rPr>
                <w:sz w:val="20"/>
                <w:szCs w:val="20"/>
              </w:rPr>
              <w:t>31%</w:t>
            </w:r>
          </w:p>
        </w:tc>
      </w:tr>
    </w:tbl>
    <w:p w:rsidR="00F31E29" w:rsidRDefault="00531416" w:rsidP="00531416">
      <w:pPr>
        <w:tabs>
          <w:tab w:val="left" w:pos="1552"/>
        </w:tabs>
        <w:jc w:val="both"/>
      </w:pPr>
      <w:r>
        <w:tab/>
      </w:r>
    </w:p>
    <w:p w:rsidR="00531416" w:rsidRDefault="00531416" w:rsidP="00531416">
      <w:pPr>
        <w:pStyle w:val="Heading1"/>
      </w:pPr>
      <w:r>
        <w:t>College Educational Master Planning Committee (CEMPC)</w:t>
      </w:r>
    </w:p>
    <w:p w:rsidR="00531416" w:rsidRPr="00531416" w:rsidRDefault="00531416" w:rsidP="00531416"/>
    <w:tbl>
      <w:tblPr>
        <w:tblW w:w="11729"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gridCol w:w="834"/>
        <w:gridCol w:w="907"/>
        <w:gridCol w:w="1505"/>
        <w:gridCol w:w="819"/>
        <w:gridCol w:w="919"/>
        <w:gridCol w:w="686"/>
        <w:gridCol w:w="1051"/>
        <w:gridCol w:w="750"/>
      </w:tblGrid>
      <w:tr w:rsidR="00BC7C62" w:rsidRPr="004800BA" w:rsidTr="00D71344">
        <w:trPr>
          <w:trHeight w:val="306"/>
          <w:jc w:val="center"/>
        </w:trPr>
        <w:tc>
          <w:tcPr>
            <w:tcW w:w="4258" w:type="dxa"/>
            <w:shd w:val="clear" w:color="auto" w:fill="BFBFBF" w:themeFill="background1" w:themeFillShade="BF"/>
          </w:tcPr>
          <w:p w:rsidR="00BC7C62" w:rsidRPr="004800BA" w:rsidRDefault="00BC7C62" w:rsidP="00BC7C62">
            <w:pPr>
              <w:pStyle w:val="NoSpacing"/>
              <w:rPr>
                <w:b/>
              </w:rPr>
            </w:pPr>
            <w:r>
              <w:rPr>
                <w:b/>
              </w:rPr>
              <w:t>College Educational Master Planning Committee (CEMPC)</w:t>
            </w:r>
          </w:p>
        </w:tc>
        <w:tc>
          <w:tcPr>
            <w:tcW w:w="1741" w:type="dxa"/>
            <w:gridSpan w:val="2"/>
            <w:shd w:val="clear" w:color="auto" w:fill="BFBFBF" w:themeFill="background1" w:themeFillShade="BF"/>
          </w:tcPr>
          <w:p w:rsidR="00BC7C62" w:rsidRPr="004800BA" w:rsidRDefault="00BC7C62" w:rsidP="00E9401F">
            <w:pPr>
              <w:pStyle w:val="NoSpacing"/>
              <w:rPr>
                <w:b/>
              </w:rPr>
            </w:pPr>
            <w:r>
              <w:rPr>
                <w:b/>
              </w:rPr>
              <w:t>Always/Most of the Time</w:t>
            </w:r>
          </w:p>
        </w:tc>
        <w:tc>
          <w:tcPr>
            <w:tcW w:w="2324" w:type="dxa"/>
            <w:gridSpan w:val="2"/>
            <w:shd w:val="clear" w:color="auto" w:fill="BFBFBF" w:themeFill="background1" w:themeFillShade="BF"/>
          </w:tcPr>
          <w:p w:rsidR="00BC7C62" w:rsidRPr="004800BA" w:rsidRDefault="00BC7C62" w:rsidP="00E9401F">
            <w:pPr>
              <w:pStyle w:val="NoSpacing"/>
              <w:rPr>
                <w:b/>
              </w:rPr>
            </w:pPr>
            <w:r>
              <w:rPr>
                <w:b/>
              </w:rPr>
              <w:t>Occasionally/Some of the Time</w:t>
            </w:r>
          </w:p>
        </w:tc>
        <w:tc>
          <w:tcPr>
            <w:tcW w:w="1605" w:type="dxa"/>
            <w:gridSpan w:val="2"/>
            <w:shd w:val="clear" w:color="auto" w:fill="BFBFBF" w:themeFill="background1" w:themeFillShade="BF"/>
          </w:tcPr>
          <w:p w:rsidR="00BC7C62" w:rsidRPr="004800BA" w:rsidRDefault="00BC7C62" w:rsidP="00E9401F">
            <w:pPr>
              <w:pStyle w:val="NoSpacing"/>
              <w:rPr>
                <w:b/>
              </w:rPr>
            </w:pPr>
            <w:r>
              <w:rPr>
                <w:b/>
              </w:rPr>
              <w:t>Rarely/Never</w:t>
            </w:r>
          </w:p>
        </w:tc>
        <w:tc>
          <w:tcPr>
            <w:tcW w:w="1801" w:type="dxa"/>
            <w:gridSpan w:val="2"/>
            <w:shd w:val="clear" w:color="auto" w:fill="BFBFBF" w:themeFill="background1" w:themeFillShade="BF"/>
          </w:tcPr>
          <w:p w:rsidR="00BC7C62" w:rsidRPr="004800BA" w:rsidRDefault="00BC7C62" w:rsidP="00E9401F">
            <w:pPr>
              <w:pStyle w:val="NoSpacing"/>
              <w:rPr>
                <w:b/>
              </w:rPr>
            </w:pPr>
            <w:r>
              <w:rPr>
                <w:b/>
              </w:rPr>
              <w:t>I don’t know.</w:t>
            </w:r>
          </w:p>
        </w:tc>
      </w:tr>
      <w:tr w:rsidR="00BC7C62" w:rsidRPr="0005701B" w:rsidTr="00D71344">
        <w:trPr>
          <w:trHeight w:val="167"/>
          <w:jc w:val="center"/>
        </w:trPr>
        <w:tc>
          <w:tcPr>
            <w:tcW w:w="4258" w:type="dxa"/>
            <w:shd w:val="clear" w:color="auto" w:fill="auto"/>
          </w:tcPr>
          <w:p w:rsidR="00BC7C62" w:rsidRDefault="00BC7C62" w:rsidP="00E9401F">
            <w:pPr>
              <w:pStyle w:val="NoSpacing"/>
            </w:pPr>
            <w:r>
              <w:t>CEMPC regularly reviews and updates the College on the Educational Master Plan</w:t>
            </w:r>
          </w:p>
        </w:tc>
        <w:tc>
          <w:tcPr>
            <w:tcW w:w="834" w:type="dxa"/>
            <w:shd w:val="clear" w:color="auto" w:fill="auto"/>
          </w:tcPr>
          <w:p w:rsidR="00BC7C62" w:rsidRPr="0005701B" w:rsidRDefault="00BC7C62" w:rsidP="00E9401F">
            <w:pPr>
              <w:pStyle w:val="NoSpacing"/>
              <w:jc w:val="center"/>
              <w:rPr>
                <w:sz w:val="20"/>
                <w:szCs w:val="20"/>
              </w:rPr>
            </w:pPr>
            <w:r>
              <w:rPr>
                <w:sz w:val="20"/>
                <w:szCs w:val="20"/>
              </w:rPr>
              <w:t>13</w:t>
            </w:r>
          </w:p>
        </w:tc>
        <w:tc>
          <w:tcPr>
            <w:tcW w:w="907" w:type="dxa"/>
            <w:shd w:val="clear" w:color="auto" w:fill="auto"/>
          </w:tcPr>
          <w:p w:rsidR="00BC7C62" w:rsidRPr="0005701B" w:rsidRDefault="00BC7C62" w:rsidP="00E9401F">
            <w:pPr>
              <w:pStyle w:val="NoSpacing"/>
              <w:jc w:val="center"/>
              <w:rPr>
                <w:sz w:val="20"/>
                <w:szCs w:val="20"/>
              </w:rPr>
            </w:pPr>
            <w:r>
              <w:rPr>
                <w:sz w:val="20"/>
                <w:szCs w:val="20"/>
              </w:rPr>
              <w:t>19%</w:t>
            </w:r>
          </w:p>
        </w:tc>
        <w:tc>
          <w:tcPr>
            <w:tcW w:w="1505" w:type="dxa"/>
            <w:shd w:val="clear" w:color="auto" w:fill="auto"/>
          </w:tcPr>
          <w:p w:rsidR="00BC7C62" w:rsidRPr="0005701B" w:rsidRDefault="00BC7C62" w:rsidP="00E9401F">
            <w:pPr>
              <w:pStyle w:val="NoSpacing"/>
              <w:jc w:val="center"/>
              <w:rPr>
                <w:sz w:val="20"/>
                <w:szCs w:val="20"/>
              </w:rPr>
            </w:pPr>
            <w:r>
              <w:rPr>
                <w:sz w:val="20"/>
                <w:szCs w:val="20"/>
              </w:rPr>
              <w:t>30</w:t>
            </w:r>
          </w:p>
        </w:tc>
        <w:tc>
          <w:tcPr>
            <w:tcW w:w="818" w:type="dxa"/>
            <w:shd w:val="clear" w:color="auto" w:fill="auto"/>
          </w:tcPr>
          <w:p w:rsidR="00BC7C62" w:rsidRPr="0005701B" w:rsidRDefault="00BC7C62" w:rsidP="00E9401F">
            <w:pPr>
              <w:pStyle w:val="NoSpacing"/>
              <w:jc w:val="center"/>
              <w:rPr>
                <w:sz w:val="20"/>
                <w:szCs w:val="20"/>
              </w:rPr>
            </w:pPr>
            <w:r>
              <w:rPr>
                <w:sz w:val="20"/>
                <w:szCs w:val="20"/>
              </w:rPr>
              <w:t>44%</w:t>
            </w:r>
          </w:p>
        </w:tc>
        <w:tc>
          <w:tcPr>
            <w:tcW w:w="919" w:type="dxa"/>
            <w:shd w:val="clear" w:color="auto" w:fill="auto"/>
          </w:tcPr>
          <w:p w:rsidR="00BC7C62" w:rsidRPr="0005701B" w:rsidRDefault="00BC7C62" w:rsidP="00E9401F">
            <w:pPr>
              <w:pStyle w:val="NoSpacing"/>
              <w:jc w:val="center"/>
              <w:rPr>
                <w:sz w:val="20"/>
                <w:szCs w:val="20"/>
              </w:rPr>
            </w:pPr>
            <w:r>
              <w:rPr>
                <w:sz w:val="20"/>
                <w:szCs w:val="20"/>
              </w:rPr>
              <w:t>9</w:t>
            </w:r>
          </w:p>
        </w:tc>
        <w:tc>
          <w:tcPr>
            <w:tcW w:w="686" w:type="dxa"/>
            <w:shd w:val="clear" w:color="auto" w:fill="auto"/>
          </w:tcPr>
          <w:p w:rsidR="00BC7C62" w:rsidRPr="0005701B" w:rsidRDefault="00BC7C62" w:rsidP="00E9401F">
            <w:pPr>
              <w:pStyle w:val="NoSpacing"/>
              <w:jc w:val="center"/>
              <w:rPr>
                <w:sz w:val="20"/>
                <w:szCs w:val="20"/>
              </w:rPr>
            </w:pPr>
            <w:r>
              <w:rPr>
                <w:sz w:val="20"/>
                <w:szCs w:val="20"/>
              </w:rPr>
              <w:t>13%</w:t>
            </w:r>
          </w:p>
        </w:tc>
        <w:tc>
          <w:tcPr>
            <w:tcW w:w="1051" w:type="dxa"/>
            <w:shd w:val="clear" w:color="auto" w:fill="auto"/>
          </w:tcPr>
          <w:p w:rsidR="00BC7C62" w:rsidRPr="0005701B" w:rsidRDefault="00BC7C62" w:rsidP="00E9401F">
            <w:pPr>
              <w:pStyle w:val="NoSpacing"/>
              <w:jc w:val="center"/>
              <w:rPr>
                <w:sz w:val="20"/>
                <w:szCs w:val="20"/>
              </w:rPr>
            </w:pPr>
            <w:r>
              <w:rPr>
                <w:sz w:val="20"/>
                <w:szCs w:val="20"/>
              </w:rPr>
              <w:t>16</w:t>
            </w:r>
          </w:p>
        </w:tc>
        <w:tc>
          <w:tcPr>
            <w:tcW w:w="750" w:type="dxa"/>
            <w:shd w:val="clear" w:color="auto" w:fill="auto"/>
          </w:tcPr>
          <w:p w:rsidR="00BC7C62" w:rsidRPr="0005701B" w:rsidRDefault="00BC7C62" w:rsidP="00E9401F">
            <w:pPr>
              <w:pStyle w:val="NoSpacing"/>
              <w:jc w:val="center"/>
              <w:rPr>
                <w:sz w:val="20"/>
                <w:szCs w:val="20"/>
              </w:rPr>
            </w:pPr>
            <w:r>
              <w:rPr>
                <w:sz w:val="20"/>
                <w:szCs w:val="20"/>
              </w:rPr>
              <w:t>24%</w:t>
            </w:r>
          </w:p>
        </w:tc>
      </w:tr>
      <w:tr w:rsidR="00BC7C62" w:rsidRPr="0005701B" w:rsidTr="00D71344">
        <w:trPr>
          <w:trHeight w:val="179"/>
          <w:jc w:val="center"/>
        </w:trPr>
        <w:tc>
          <w:tcPr>
            <w:tcW w:w="4258" w:type="dxa"/>
            <w:shd w:val="clear" w:color="auto" w:fill="auto"/>
          </w:tcPr>
          <w:p w:rsidR="00BC7C62" w:rsidRDefault="00BC7C62" w:rsidP="00E9401F">
            <w:pPr>
              <w:pStyle w:val="NoSpacing"/>
            </w:pPr>
            <w:r>
              <w:t>CEMPC facilitates the alignment of College activities with the EMP, Annual Goals and District Strategic Goals.</w:t>
            </w:r>
          </w:p>
        </w:tc>
        <w:tc>
          <w:tcPr>
            <w:tcW w:w="834" w:type="dxa"/>
            <w:shd w:val="clear" w:color="auto" w:fill="auto"/>
          </w:tcPr>
          <w:p w:rsidR="00BC7C62" w:rsidRPr="0005701B" w:rsidRDefault="00BC7C62" w:rsidP="00E9401F">
            <w:pPr>
              <w:pStyle w:val="NoSpacing"/>
              <w:jc w:val="center"/>
              <w:rPr>
                <w:sz w:val="20"/>
                <w:szCs w:val="20"/>
              </w:rPr>
            </w:pPr>
            <w:r>
              <w:rPr>
                <w:sz w:val="20"/>
                <w:szCs w:val="20"/>
              </w:rPr>
              <w:t>12</w:t>
            </w:r>
          </w:p>
        </w:tc>
        <w:tc>
          <w:tcPr>
            <w:tcW w:w="907" w:type="dxa"/>
            <w:shd w:val="clear" w:color="auto" w:fill="auto"/>
          </w:tcPr>
          <w:p w:rsidR="00BC7C62" w:rsidRPr="0005701B" w:rsidRDefault="00BC7C62" w:rsidP="00E9401F">
            <w:pPr>
              <w:pStyle w:val="NoSpacing"/>
              <w:jc w:val="center"/>
              <w:rPr>
                <w:sz w:val="20"/>
                <w:szCs w:val="20"/>
              </w:rPr>
            </w:pPr>
            <w:r>
              <w:rPr>
                <w:sz w:val="20"/>
                <w:szCs w:val="20"/>
              </w:rPr>
              <w:t>18%</w:t>
            </w:r>
          </w:p>
        </w:tc>
        <w:tc>
          <w:tcPr>
            <w:tcW w:w="1505" w:type="dxa"/>
            <w:shd w:val="clear" w:color="auto" w:fill="auto"/>
          </w:tcPr>
          <w:p w:rsidR="00BC7C62" w:rsidRPr="0005701B" w:rsidRDefault="00BC7C62" w:rsidP="00E9401F">
            <w:pPr>
              <w:pStyle w:val="NoSpacing"/>
              <w:jc w:val="center"/>
              <w:rPr>
                <w:sz w:val="20"/>
                <w:szCs w:val="20"/>
              </w:rPr>
            </w:pPr>
            <w:r>
              <w:rPr>
                <w:sz w:val="20"/>
                <w:szCs w:val="20"/>
              </w:rPr>
              <w:t>28</w:t>
            </w:r>
          </w:p>
        </w:tc>
        <w:tc>
          <w:tcPr>
            <w:tcW w:w="818" w:type="dxa"/>
            <w:shd w:val="clear" w:color="auto" w:fill="auto"/>
          </w:tcPr>
          <w:p w:rsidR="00BC7C62" w:rsidRPr="0005701B" w:rsidRDefault="00BC7C62" w:rsidP="00E9401F">
            <w:pPr>
              <w:pStyle w:val="NoSpacing"/>
              <w:jc w:val="center"/>
              <w:rPr>
                <w:sz w:val="20"/>
                <w:szCs w:val="20"/>
              </w:rPr>
            </w:pPr>
            <w:r>
              <w:rPr>
                <w:sz w:val="20"/>
                <w:szCs w:val="20"/>
              </w:rPr>
              <w:t>42%</w:t>
            </w:r>
          </w:p>
        </w:tc>
        <w:tc>
          <w:tcPr>
            <w:tcW w:w="919" w:type="dxa"/>
            <w:shd w:val="clear" w:color="auto" w:fill="auto"/>
          </w:tcPr>
          <w:p w:rsidR="00BC7C62" w:rsidRPr="0005701B" w:rsidRDefault="00BC7C62" w:rsidP="00E9401F">
            <w:pPr>
              <w:pStyle w:val="NoSpacing"/>
              <w:jc w:val="center"/>
              <w:rPr>
                <w:sz w:val="20"/>
                <w:szCs w:val="20"/>
              </w:rPr>
            </w:pPr>
            <w:r>
              <w:rPr>
                <w:sz w:val="20"/>
                <w:szCs w:val="20"/>
              </w:rPr>
              <w:t>11</w:t>
            </w:r>
          </w:p>
        </w:tc>
        <w:tc>
          <w:tcPr>
            <w:tcW w:w="686" w:type="dxa"/>
            <w:shd w:val="clear" w:color="auto" w:fill="auto"/>
          </w:tcPr>
          <w:p w:rsidR="00BC7C62" w:rsidRPr="0005701B" w:rsidRDefault="00BC7C62" w:rsidP="00E9401F">
            <w:pPr>
              <w:pStyle w:val="NoSpacing"/>
              <w:jc w:val="center"/>
              <w:rPr>
                <w:sz w:val="20"/>
                <w:szCs w:val="20"/>
              </w:rPr>
            </w:pPr>
            <w:r>
              <w:rPr>
                <w:sz w:val="20"/>
                <w:szCs w:val="20"/>
              </w:rPr>
              <w:t>17%</w:t>
            </w:r>
          </w:p>
        </w:tc>
        <w:tc>
          <w:tcPr>
            <w:tcW w:w="1051" w:type="dxa"/>
            <w:shd w:val="clear" w:color="auto" w:fill="auto"/>
          </w:tcPr>
          <w:p w:rsidR="00BC7C62" w:rsidRPr="0005701B" w:rsidRDefault="00BC7C62" w:rsidP="00E9401F">
            <w:pPr>
              <w:pStyle w:val="NoSpacing"/>
              <w:jc w:val="center"/>
              <w:rPr>
                <w:sz w:val="20"/>
                <w:szCs w:val="20"/>
              </w:rPr>
            </w:pPr>
            <w:r>
              <w:rPr>
                <w:sz w:val="20"/>
                <w:szCs w:val="20"/>
              </w:rPr>
              <w:t>15</w:t>
            </w:r>
          </w:p>
        </w:tc>
        <w:tc>
          <w:tcPr>
            <w:tcW w:w="750" w:type="dxa"/>
            <w:shd w:val="clear" w:color="auto" w:fill="auto"/>
          </w:tcPr>
          <w:p w:rsidR="00BC7C62" w:rsidRPr="0005701B" w:rsidRDefault="00BC7C62" w:rsidP="00E9401F">
            <w:pPr>
              <w:pStyle w:val="NoSpacing"/>
              <w:jc w:val="center"/>
              <w:rPr>
                <w:sz w:val="20"/>
                <w:szCs w:val="20"/>
              </w:rPr>
            </w:pPr>
            <w:r>
              <w:rPr>
                <w:sz w:val="20"/>
                <w:szCs w:val="20"/>
              </w:rPr>
              <w:t>23%</w:t>
            </w:r>
          </w:p>
        </w:tc>
      </w:tr>
      <w:tr w:rsidR="00BC7C62" w:rsidRPr="0005701B" w:rsidTr="00D71344">
        <w:trPr>
          <w:trHeight w:val="190"/>
          <w:jc w:val="center"/>
        </w:trPr>
        <w:tc>
          <w:tcPr>
            <w:tcW w:w="4258" w:type="dxa"/>
            <w:shd w:val="clear" w:color="auto" w:fill="auto"/>
          </w:tcPr>
          <w:p w:rsidR="00BC7C62" w:rsidRDefault="00BC7C62" w:rsidP="00E9401F">
            <w:pPr>
              <w:pStyle w:val="NoSpacing"/>
            </w:pPr>
            <w:r>
              <w:t>CEMPC represents all constituency groups when recommending College planning priorities, activities and goals to the College Council.</w:t>
            </w:r>
          </w:p>
        </w:tc>
        <w:tc>
          <w:tcPr>
            <w:tcW w:w="834" w:type="dxa"/>
            <w:shd w:val="clear" w:color="auto" w:fill="auto"/>
          </w:tcPr>
          <w:p w:rsidR="00BC7C62" w:rsidRPr="0005701B" w:rsidRDefault="00BC7C62" w:rsidP="00E9401F">
            <w:pPr>
              <w:pStyle w:val="NoSpacing"/>
              <w:jc w:val="center"/>
              <w:rPr>
                <w:sz w:val="20"/>
                <w:szCs w:val="20"/>
              </w:rPr>
            </w:pPr>
            <w:r>
              <w:rPr>
                <w:sz w:val="20"/>
                <w:szCs w:val="20"/>
              </w:rPr>
              <w:t>15</w:t>
            </w:r>
          </w:p>
        </w:tc>
        <w:tc>
          <w:tcPr>
            <w:tcW w:w="907" w:type="dxa"/>
            <w:shd w:val="clear" w:color="auto" w:fill="auto"/>
          </w:tcPr>
          <w:p w:rsidR="00BC7C62" w:rsidRPr="0005701B" w:rsidRDefault="00BC7C62" w:rsidP="00E9401F">
            <w:pPr>
              <w:pStyle w:val="NoSpacing"/>
              <w:jc w:val="center"/>
              <w:rPr>
                <w:sz w:val="20"/>
                <w:szCs w:val="20"/>
              </w:rPr>
            </w:pPr>
            <w:r>
              <w:rPr>
                <w:sz w:val="20"/>
                <w:szCs w:val="20"/>
              </w:rPr>
              <w:t>22%</w:t>
            </w:r>
          </w:p>
        </w:tc>
        <w:tc>
          <w:tcPr>
            <w:tcW w:w="1505" w:type="dxa"/>
            <w:shd w:val="clear" w:color="auto" w:fill="auto"/>
          </w:tcPr>
          <w:p w:rsidR="00BC7C62" w:rsidRPr="0005701B" w:rsidRDefault="00BC7C62" w:rsidP="00E9401F">
            <w:pPr>
              <w:pStyle w:val="NoSpacing"/>
              <w:jc w:val="center"/>
              <w:rPr>
                <w:sz w:val="20"/>
                <w:szCs w:val="20"/>
              </w:rPr>
            </w:pPr>
            <w:r>
              <w:rPr>
                <w:sz w:val="20"/>
                <w:szCs w:val="20"/>
              </w:rPr>
              <w:t>19</w:t>
            </w:r>
          </w:p>
        </w:tc>
        <w:tc>
          <w:tcPr>
            <w:tcW w:w="818" w:type="dxa"/>
            <w:shd w:val="clear" w:color="auto" w:fill="auto"/>
          </w:tcPr>
          <w:p w:rsidR="00BC7C62" w:rsidRPr="0005701B" w:rsidRDefault="00BC7C62" w:rsidP="00E9401F">
            <w:pPr>
              <w:pStyle w:val="NoSpacing"/>
              <w:jc w:val="center"/>
              <w:rPr>
                <w:sz w:val="20"/>
                <w:szCs w:val="20"/>
              </w:rPr>
            </w:pPr>
            <w:r>
              <w:rPr>
                <w:sz w:val="20"/>
                <w:szCs w:val="20"/>
              </w:rPr>
              <w:t>28%</w:t>
            </w:r>
          </w:p>
        </w:tc>
        <w:tc>
          <w:tcPr>
            <w:tcW w:w="919" w:type="dxa"/>
            <w:shd w:val="clear" w:color="auto" w:fill="auto"/>
          </w:tcPr>
          <w:p w:rsidR="00BC7C62" w:rsidRPr="0005701B" w:rsidRDefault="00BC7C62" w:rsidP="00E9401F">
            <w:pPr>
              <w:pStyle w:val="NoSpacing"/>
              <w:jc w:val="center"/>
              <w:rPr>
                <w:sz w:val="20"/>
                <w:szCs w:val="20"/>
              </w:rPr>
            </w:pPr>
            <w:r>
              <w:rPr>
                <w:sz w:val="20"/>
                <w:szCs w:val="20"/>
              </w:rPr>
              <w:t>12</w:t>
            </w:r>
          </w:p>
        </w:tc>
        <w:tc>
          <w:tcPr>
            <w:tcW w:w="686" w:type="dxa"/>
            <w:shd w:val="clear" w:color="auto" w:fill="auto"/>
          </w:tcPr>
          <w:p w:rsidR="00BC7C62" w:rsidRPr="0005701B" w:rsidRDefault="00BC7C62" w:rsidP="00E9401F">
            <w:pPr>
              <w:pStyle w:val="NoSpacing"/>
              <w:jc w:val="center"/>
              <w:rPr>
                <w:sz w:val="20"/>
                <w:szCs w:val="20"/>
              </w:rPr>
            </w:pPr>
            <w:r>
              <w:rPr>
                <w:sz w:val="20"/>
                <w:szCs w:val="20"/>
              </w:rPr>
              <w:t>18%</w:t>
            </w:r>
          </w:p>
        </w:tc>
        <w:tc>
          <w:tcPr>
            <w:tcW w:w="1051" w:type="dxa"/>
            <w:shd w:val="clear" w:color="auto" w:fill="auto"/>
          </w:tcPr>
          <w:p w:rsidR="00BC7C62" w:rsidRPr="0005701B" w:rsidRDefault="00BC7C62" w:rsidP="00E9401F">
            <w:pPr>
              <w:pStyle w:val="NoSpacing"/>
              <w:jc w:val="center"/>
              <w:rPr>
                <w:sz w:val="20"/>
                <w:szCs w:val="20"/>
              </w:rPr>
            </w:pPr>
            <w:r>
              <w:rPr>
                <w:sz w:val="20"/>
                <w:szCs w:val="20"/>
              </w:rPr>
              <w:t>21</w:t>
            </w:r>
          </w:p>
        </w:tc>
        <w:tc>
          <w:tcPr>
            <w:tcW w:w="750" w:type="dxa"/>
            <w:shd w:val="clear" w:color="auto" w:fill="auto"/>
          </w:tcPr>
          <w:p w:rsidR="00BC7C62" w:rsidRPr="0005701B" w:rsidRDefault="00BC7C62" w:rsidP="00E9401F">
            <w:pPr>
              <w:pStyle w:val="NoSpacing"/>
              <w:jc w:val="center"/>
              <w:rPr>
                <w:sz w:val="20"/>
                <w:szCs w:val="20"/>
              </w:rPr>
            </w:pPr>
            <w:r>
              <w:rPr>
                <w:sz w:val="20"/>
                <w:szCs w:val="20"/>
              </w:rPr>
              <w:t>31%</w:t>
            </w:r>
          </w:p>
        </w:tc>
      </w:tr>
    </w:tbl>
    <w:p w:rsidR="00BC7C62" w:rsidRDefault="00BC7C62" w:rsidP="00BC7C62"/>
    <w:p w:rsidR="00BC7C62" w:rsidRDefault="00531416" w:rsidP="00531416">
      <w:pPr>
        <w:pStyle w:val="Heading1"/>
      </w:pPr>
      <w:r>
        <w:t>College Budget Committee (CBC)</w:t>
      </w:r>
    </w:p>
    <w:p w:rsidR="00531416" w:rsidRPr="00531416" w:rsidRDefault="00531416" w:rsidP="00531416"/>
    <w:tbl>
      <w:tblPr>
        <w:tblW w:w="11627"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827"/>
        <w:gridCol w:w="899"/>
        <w:gridCol w:w="1492"/>
        <w:gridCol w:w="811"/>
        <w:gridCol w:w="911"/>
        <w:gridCol w:w="680"/>
        <w:gridCol w:w="1042"/>
        <w:gridCol w:w="744"/>
      </w:tblGrid>
      <w:tr w:rsidR="00BC7C62" w:rsidRPr="004800BA" w:rsidTr="00D71344">
        <w:trPr>
          <w:trHeight w:val="263"/>
          <w:jc w:val="center"/>
        </w:trPr>
        <w:tc>
          <w:tcPr>
            <w:tcW w:w="4221" w:type="dxa"/>
            <w:shd w:val="clear" w:color="auto" w:fill="BFBFBF" w:themeFill="background1" w:themeFillShade="BF"/>
          </w:tcPr>
          <w:p w:rsidR="00BC7C62" w:rsidRPr="004800BA" w:rsidRDefault="00BC7C62" w:rsidP="00E9401F">
            <w:pPr>
              <w:pStyle w:val="NoSpacing"/>
              <w:rPr>
                <w:b/>
              </w:rPr>
            </w:pPr>
            <w:r>
              <w:rPr>
                <w:b/>
              </w:rPr>
              <w:t>College Budget Committee (CBC)</w:t>
            </w:r>
          </w:p>
        </w:tc>
        <w:tc>
          <w:tcPr>
            <w:tcW w:w="1726" w:type="dxa"/>
            <w:gridSpan w:val="2"/>
            <w:shd w:val="clear" w:color="auto" w:fill="BFBFBF" w:themeFill="background1" w:themeFillShade="BF"/>
          </w:tcPr>
          <w:p w:rsidR="00BC7C62" w:rsidRPr="004800BA" w:rsidRDefault="00BC7C62" w:rsidP="00E9401F">
            <w:pPr>
              <w:pStyle w:val="NoSpacing"/>
              <w:rPr>
                <w:b/>
              </w:rPr>
            </w:pPr>
            <w:r>
              <w:rPr>
                <w:b/>
              </w:rPr>
              <w:t>Always/Most of the Time</w:t>
            </w:r>
          </w:p>
        </w:tc>
        <w:tc>
          <w:tcPr>
            <w:tcW w:w="2303" w:type="dxa"/>
            <w:gridSpan w:val="2"/>
            <w:shd w:val="clear" w:color="auto" w:fill="BFBFBF" w:themeFill="background1" w:themeFillShade="BF"/>
          </w:tcPr>
          <w:p w:rsidR="00BC7C62" w:rsidRPr="004800BA" w:rsidRDefault="00BC7C62" w:rsidP="00E9401F">
            <w:pPr>
              <w:pStyle w:val="NoSpacing"/>
              <w:rPr>
                <w:b/>
              </w:rPr>
            </w:pPr>
            <w:r>
              <w:rPr>
                <w:b/>
              </w:rPr>
              <w:t>Occasionally/Some of the Time</w:t>
            </w:r>
          </w:p>
        </w:tc>
        <w:tc>
          <w:tcPr>
            <w:tcW w:w="1591" w:type="dxa"/>
            <w:gridSpan w:val="2"/>
            <w:shd w:val="clear" w:color="auto" w:fill="BFBFBF" w:themeFill="background1" w:themeFillShade="BF"/>
          </w:tcPr>
          <w:p w:rsidR="00BC7C62" w:rsidRPr="004800BA" w:rsidRDefault="00BC7C62" w:rsidP="00E9401F">
            <w:pPr>
              <w:pStyle w:val="NoSpacing"/>
              <w:rPr>
                <w:b/>
              </w:rPr>
            </w:pPr>
            <w:r>
              <w:rPr>
                <w:b/>
              </w:rPr>
              <w:t>Rarely/Never</w:t>
            </w:r>
          </w:p>
        </w:tc>
        <w:tc>
          <w:tcPr>
            <w:tcW w:w="1785" w:type="dxa"/>
            <w:gridSpan w:val="2"/>
            <w:shd w:val="clear" w:color="auto" w:fill="BFBFBF" w:themeFill="background1" w:themeFillShade="BF"/>
          </w:tcPr>
          <w:p w:rsidR="00BC7C62" w:rsidRPr="004800BA" w:rsidRDefault="00BC7C62" w:rsidP="00E9401F">
            <w:pPr>
              <w:pStyle w:val="NoSpacing"/>
              <w:rPr>
                <w:b/>
              </w:rPr>
            </w:pPr>
            <w:r>
              <w:rPr>
                <w:b/>
              </w:rPr>
              <w:t>I don’t know.</w:t>
            </w:r>
          </w:p>
        </w:tc>
      </w:tr>
      <w:tr w:rsidR="00BC7C62" w:rsidRPr="0005701B" w:rsidTr="00D71344">
        <w:trPr>
          <w:trHeight w:val="144"/>
          <w:jc w:val="center"/>
        </w:trPr>
        <w:tc>
          <w:tcPr>
            <w:tcW w:w="4221" w:type="dxa"/>
            <w:shd w:val="clear" w:color="auto" w:fill="auto"/>
          </w:tcPr>
          <w:p w:rsidR="00BC7C62" w:rsidRDefault="00BC7C62" w:rsidP="00E9401F">
            <w:pPr>
              <w:pStyle w:val="NoSpacing"/>
            </w:pPr>
            <w:r>
              <w:t>CBC advises on the development of budgetary policies, processes and timelines.</w:t>
            </w:r>
          </w:p>
        </w:tc>
        <w:tc>
          <w:tcPr>
            <w:tcW w:w="827" w:type="dxa"/>
            <w:shd w:val="clear" w:color="auto" w:fill="auto"/>
          </w:tcPr>
          <w:p w:rsidR="00BC7C62" w:rsidRPr="0005701B" w:rsidRDefault="00BC7C62" w:rsidP="00E9401F">
            <w:pPr>
              <w:pStyle w:val="NoSpacing"/>
              <w:jc w:val="center"/>
              <w:rPr>
                <w:sz w:val="20"/>
                <w:szCs w:val="20"/>
              </w:rPr>
            </w:pPr>
            <w:r>
              <w:rPr>
                <w:sz w:val="20"/>
                <w:szCs w:val="20"/>
              </w:rPr>
              <w:t>18</w:t>
            </w:r>
          </w:p>
        </w:tc>
        <w:tc>
          <w:tcPr>
            <w:tcW w:w="899" w:type="dxa"/>
            <w:shd w:val="clear" w:color="auto" w:fill="auto"/>
          </w:tcPr>
          <w:p w:rsidR="00BC7C62" w:rsidRPr="0005701B" w:rsidRDefault="00BC7C62" w:rsidP="00E9401F">
            <w:pPr>
              <w:pStyle w:val="NoSpacing"/>
              <w:jc w:val="center"/>
              <w:rPr>
                <w:sz w:val="20"/>
                <w:szCs w:val="20"/>
              </w:rPr>
            </w:pPr>
            <w:r>
              <w:rPr>
                <w:sz w:val="20"/>
                <w:szCs w:val="20"/>
              </w:rPr>
              <w:t>27%</w:t>
            </w:r>
          </w:p>
        </w:tc>
        <w:tc>
          <w:tcPr>
            <w:tcW w:w="1492" w:type="dxa"/>
            <w:shd w:val="clear" w:color="auto" w:fill="auto"/>
          </w:tcPr>
          <w:p w:rsidR="00BC7C62" w:rsidRPr="0005701B" w:rsidRDefault="00BC7C62" w:rsidP="00E9401F">
            <w:pPr>
              <w:pStyle w:val="NoSpacing"/>
              <w:jc w:val="center"/>
              <w:rPr>
                <w:sz w:val="20"/>
                <w:szCs w:val="20"/>
              </w:rPr>
            </w:pPr>
            <w:r>
              <w:rPr>
                <w:sz w:val="20"/>
                <w:szCs w:val="20"/>
              </w:rPr>
              <w:t>17</w:t>
            </w:r>
          </w:p>
        </w:tc>
        <w:tc>
          <w:tcPr>
            <w:tcW w:w="811" w:type="dxa"/>
            <w:shd w:val="clear" w:color="auto" w:fill="auto"/>
          </w:tcPr>
          <w:p w:rsidR="00BC7C62" w:rsidRPr="0005701B" w:rsidRDefault="00BC7C62" w:rsidP="00E9401F">
            <w:pPr>
              <w:pStyle w:val="NoSpacing"/>
              <w:jc w:val="center"/>
              <w:rPr>
                <w:sz w:val="20"/>
                <w:szCs w:val="20"/>
              </w:rPr>
            </w:pPr>
            <w:r>
              <w:rPr>
                <w:sz w:val="20"/>
                <w:szCs w:val="20"/>
              </w:rPr>
              <w:t>25%</w:t>
            </w:r>
          </w:p>
        </w:tc>
        <w:tc>
          <w:tcPr>
            <w:tcW w:w="911" w:type="dxa"/>
            <w:shd w:val="clear" w:color="auto" w:fill="auto"/>
          </w:tcPr>
          <w:p w:rsidR="00BC7C62" w:rsidRPr="0005701B" w:rsidRDefault="00BC7C62" w:rsidP="00E9401F">
            <w:pPr>
              <w:pStyle w:val="NoSpacing"/>
              <w:jc w:val="center"/>
              <w:rPr>
                <w:sz w:val="20"/>
                <w:szCs w:val="20"/>
              </w:rPr>
            </w:pPr>
            <w:r>
              <w:rPr>
                <w:sz w:val="20"/>
                <w:szCs w:val="20"/>
              </w:rPr>
              <w:t>5</w:t>
            </w:r>
          </w:p>
        </w:tc>
        <w:tc>
          <w:tcPr>
            <w:tcW w:w="680" w:type="dxa"/>
            <w:shd w:val="clear" w:color="auto" w:fill="auto"/>
          </w:tcPr>
          <w:p w:rsidR="00BC7C62" w:rsidRPr="0005701B" w:rsidRDefault="00BC7C62" w:rsidP="00E9401F">
            <w:pPr>
              <w:pStyle w:val="NoSpacing"/>
              <w:jc w:val="center"/>
              <w:rPr>
                <w:sz w:val="20"/>
                <w:szCs w:val="20"/>
              </w:rPr>
            </w:pPr>
            <w:r>
              <w:rPr>
                <w:sz w:val="20"/>
                <w:szCs w:val="20"/>
              </w:rPr>
              <w:t>8%</w:t>
            </w:r>
          </w:p>
        </w:tc>
        <w:tc>
          <w:tcPr>
            <w:tcW w:w="1042" w:type="dxa"/>
            <w:shd w:val="clear" w:color="auto" w:fill="auto"/>
          </w:tcPr>
          <w:p w:rsidR="00BC7C62" w:rsidRPr="0005701B" w:rsidRDefault="00BC7C62" w:rsidP="00E9401F">
            <w:pPr>
              <w:pStyle w:val="NoSpacing"/>
              <w:jc w:val="center"/>
              <w:rPr>
                <w:sz w:val="20"/>
                <w:szCs w:val="20"/>
              </w:rPr>
            </w:pPr>
            <w:r>
              <w:rPr>
                <w:sz w:val="20"/>
                <w:szCs w:val="20"/>
              </w:rPr>
              <w:t>27</w:t>
            </w:r>
          </w:p>
        </w:tc>
        <w:tc>
          <w:tcPr>
            <w:tcW w:w="744" w:type="dxa"/>
            <w:shd w:val="clear" w:color="auto" w:fill="auto"/>
          </w:tcPr>
          <w:p w:rsidR="00BC7C62" w:rsidRPr="0005701B" w:rsidRDefault="00BC7C62" w:rsidP="00E9401F">
            <w:pPr>
              <w:pStyle w:val="NoSpacing"/>
              <w:jc w:val="center"/>
              <w:rPr>
                <w:sz w:val="20"/>
                <w:szCs w:val="20"/>
              </w:rPr>
            </w:pPr>
            <w:r>
              <w:rPr>
                <w:sz w:val="20"/>
                <w:szCs w:val="20"/>
              </w:rPr>
              <w:t>40%</w:t>
            </w:r>
          </w:p>
        </w:tc>
      </w:tr>
      <w:tr w:rsidR="00BC7C62" w:rsidRPr="0005701B" w:rsidTr="00D71344">
        <w:trPr>
          <w:trHeight w:val="154"/>
          <w:jc w:val="center"/>
        </w:trPr>
        <w:tc>
          <w:tcPr>
            <w:tcW w:w="4221" w:type="dxa"/>
            <w:shd w:val="clear" w:color="auto" w:fill="auto"/>
          </w:tcPr>
          <w:p w:rsidR="00BC7C62" w:rsidRDefault="00BC7C62" w:rsidP="00E9401F">
            <w:pPr>
              <w:pStyle w:val="NoSpacing"/>
            </w:pPr>
            <w:r>
              <w:t>CBC receives and review budget proposals from departments and program areas.</w:t>
            </w:r>
          </w:p>
        </w:tc>
        <w:tc>
          <w:tcPr>
            <w:tcW w:w="827" w:type="dxa"/>
            <w:shd w:val="clear" w:color="auto" w:fill="auto"/>
          </w:tcPr>
          <w:p w:rsidR="00BC7C62" w:rsidRPr="0005701B" w:rsidRDefault="00BC7C62" w:rsidP="00E9401F">
            <w:pPr>
              <w:pStyle w:val="NoSpacing"/>
              <w:jc w:val="center"/>
              <w:rPr>
                <w:sz w:val="20"/>
                <w:szCs w:val="20"/>
              </w:rPr>
            </w:pPr>
            <w:r>
              <w:rPr>
                <w:sz w:val="20"/>
                <w:szCs w:val="20"/>
              </w:rPr>
              <w:t>22</w:t>
            </w:r>
          </w:p>
        </w:tc>
        <w:tc>
          <w:tcPr>
            <w:tcW w:w="899" w:type="dxa"/>
            <w:shd w:val="clear" w:color="auto" w:fill="auto"/>
          </w:tcPr>
          <w:p w:rsidR="00BC7C62" w:rsidRPr="0005701B" w:rsidRDefault="00BC7C62" w:rsidP="00E9401F">
            <w:pPr>
              <w:pStyle w:val="NoSpacing"/>
              <w:jc w:val="center"/>
              <w:rPr>
                <w:sz w:val="20"/>
                <w:szCs w:val="20"/>
              </w:rPr>
            </w:pPr>
            <w:r>
              <w:rPr>
                <w:sz w:val="20"/>
                <w:szCs w:val="20"/>
              </w:rPr>
              <w:t>32%</w:t>
            </w:r>
          </w:p>
        </w:tc>
        <w:tc>
          <w:tcPr>
            <w:tcW w:w="1492" w:type="dxa"/>
            <w:shd w:val="clear" w:color="auto" w:fill="auto"/>
          </w:tcPr>
          <w:p w:rsidR="00BC7C62" w:rsidRPr="0005701B" w:rsidRDefault="00BC7C62" w:rsidP="00E9401F">
            <w:pPr>
              <w:pStyle w:val="NoSpacing"/>
              <w:jc w:val="center"/>
              <w:rPr>
                <w:sz w:val="20"/>
                <w:szCs w:val="20"/>
              </w:rPr>
            </w:pPr>
            <w:r>
              <w:rPr>
                <w:sz w:val="20"/>
                <w:szCs w:val="20"/>
              </w:rPr>
              <w:t>14</w:t>
            </w:r>
          </w:p>
        </w:tc>
        <w:tc>
          <w:tcPr>
            <w:tcW w:w="811" w:type="dxa"/>
            <w:shd w:val="clear" w:color="auto" w:fill="auto"/>
          </w:tcPr>
          <w:p w:rsidR="00BC7C62" w:rsidRPr="0005701B" w:rsidRDefault="00BC7C62" w:rsidP="00E9401F">
            <w:pPr>
              <w:pStyle w:val="NoSpacing"/>
              <w:jc w:val="center"/>
              <w:rPr>
                <w:sz w:val="20"/>
                <w:szCs w:val="20"/>
              </w:rPr>
            </w:pPr>
            <w:r>
              <w:rPr>
                <w:sz w:val="20"/>
                <w:szCs w:val="20"/>
              </w:rPr>
              <w:t>21%</w:t>
            </w:r>
          </w:p>
        </w:tc>
        <w:tc>
          <w:tcPr>
            <w:tcW w:w="911" w:type="dxa"/>
            <w:shd w:val="clear" w:color="auto" w:fill="auto"/>
          </w:tcPr>
          <w:p w:rsidR="00BC7C62" w:rsidRPr="0005701B" w:rsidRDefault="00BC7C62" w:rsidP="00E9401F">
            <w:pPr>
              <w:pStyle w:val="NoSpacing"/>
              <w:jc w:val="center"/>
              <w:rPr>
                <w:sz w:val="20"/>
                <w:szCs w:val="20"/>
              </w:rPr>
            </w:pPr>
            <w:r>
              <w:rPr>
                <w:sz w:val="20"/>
                <w:szCs w:val="20"/>
              </w:rPr>
              <w:t>6</w:t>
            </w:r>
          </w:p>
        </w:tc>
        <w:tc>
          <w:tcPr>
            <w:tcW w:w="680" w:type="dxa"/>
            <w:shd w:val="clear" w:color="auto" w:fill="auto"/>
          </w:tcPr>
          <w:p w:rsidR="00BC7C62" w:rsidRPr="0005701B" w:rsidRDefault="00BC7C62" w:rsidP="00E9401F">
            <w:pPr>
              <w:pStyle w:val="NoSpacing"/>
              <w:jc w:val="center"/>
              <w:rPr>
                <w:sz w:val="20"/>
                <w:szCs w:val="20"/>
              </w:rPr>
            </w:pPr>
            <w:r>
              <w:rPr>
                <w:sz w:val="20"/>
                <w:szCs w:val="20"/>
              </w:rPr>
              <w:t>9%</w:t>
            </w:r>
          </w:p>
        </w:tc>
        <w:tc>
          <w:tcPr>
            <w:tcW w:w="1042" w:type="dxa"/>
            <w:shd w:val="clear" w:color="auto" w:fill="auto"/>
          </w:tcPr>
          <w:p w:rsidR="00BC7C62" w:rsidRPr="0005701B" w:rsidRDefault="00BC7C62" w:rsidP="00E9401F">
            <w:pPr>
              <w:pStyle w:val="NoSpacing"/>
              <w:jc w:val="center"/>
              <w:rPr>
                <w:sz w:val="20"/>
                <w:szCs w:val="20"/>
              </w:rPr>
            </w:pPr>
            <w:r>
              <w:rPr>
                <w:sz w:val="20"/>
                <w:szCs w:val="20"/>
              </w:rPr>
              <w:t>26</w:t>
            </w:r>
          </w:p>
        </w:tc>
        <w:tc>
          <w:tcPr>
            <w:tcW w:w="744" w:type="dxa"/>
            <w:shd w:val="clear" w:color="auto" w:fill="auto"/>
          </w:tcPr>
          <w:p w:rsidR="00BC7C62" w:rsidRPr="0005701B" w:rsidRDefault="00BC7C62" w:rsidP="00E9401F">
            <w:pPr>
              <w:pStyle w:val="NoSpacing"/>
              <w:jc w:val="center"/>
              <w:rPr>
                <w:sz w:val="20"/>
                <w:szCs w:val="20"/>
              </w:rPr>
            </w:pPr>
            <w:r>
              <w:rPr>
                <w:sz w:val="20"/>
                <w:szCs w:val="20"/>
              </w:rPr>
              <w:t>38%</w:t>
            </w:r>
          </w:p>
        </w:tc>
      </w:tr>
      <w:tr w:rsidR="00BC7C62" w:rsidRPr="0005701B" w:rsidTr="00D71344">
        <w:trPr>
          <w:trHeight w:val="163"/>
          <w:jc w:val="center"/>
        </w:trPr>
        <w:tc>
          <w:tcPr>
            <w:tcW w:w="4221" w:type="dxa"/>
            <w:shd w:val="clear" w:color="auto" w:fill="auto"/>
          </w:tcPr>
          <w:p w:rsidR="00BC7C62" w:rsidRDefault="00BC7C62" w:rsidP="00E9401F">
            <w:pPr>
              <w:pStyle w:val="NoSpacing"/>
            </w:pPr>
            <w:r>
              <w:t>CBC represents all constituency groups when recommending budget development, processes and allocations.</w:t>
            </w:r>
          </w:p>
        </w:tc>
        <w:tc>
          <w:tcPr>
            <w:tcW w:w="827" w:type="dxa"/>
            <w:shd w:val="clear" w:color="auto" w:fill="auto"/>
          </w:tcPr>
          <w:p w:rsidR="00BC7C62" w:rsidRPr="0005701B" w:rsidRDefault="00BC7C62" w:rsidP="00E9401F">
            <w:pPr>
              <w:pStyle w:val="NoSpacing"/>
              <w:jc w:val="center"/>
              <w:rPr>
                <w:sz w:val="20"/>
                <w:szCs w:val="20"/>
              </w:rPr>
            </w:pPr>
            <w:r>
              <w:rPr>
                <w:sz w:val="20"/>
                <w:szCs w:val="20"/>
              </w:rPr>
              <w:t>17</w:t>
            </w:r>
          </w:p>
        </w:tc>
        <w:tc>
          <w:tcPr>
            <w:tcW w:w="899" w:type="dxa"/>
            <w:shd w:val="clear" w:color="auto" w:fill="auto"/>
          </w:tcPr>
          <w:p w:rsidR="00BC7C62" w:rsidRPr="0005701B" w:rsidRDefault="00BC7C62" w:rsidP="00E9401F">
            <w:pPr>
              <w:pStyle w:val="NoSpacing"/>
              <w:jc w:val="center"/>
              <w:rPr>
                <w:sz w:val="20"/>
                <w:szCs w:val="20"/>
              </w:rPr>
            </w:pPr>
            <w:r>
              <w:rPr>
                <w:sz w:val="20"/>
                <w:szCs w:val="20"/>
              </w:rPr>
              <w:t>25%</w:t>
            </w:r>
          </w:p>
        </w:tc>
        <w:tc>
          <w:tcPr>
            <w:tcW w:w="1492" w:type="dxa"/>
            <w:shd w:val="clear" w:color="auto" w:fill="auto"/>
          </w:tcPr>
          <w:p w:rsidR="00BC7C62" w:rsidRPr="0005701B" w:rsidRDefault="00BC7C62" w:rsidP="00E9401F">
            <w:pPr>
              <w:pStyle w:val="NoSpacing"/>
              <w:jc w:val="center"/>
              <w:rPr>
                <w:sz w:val="20"/>
                <w:szCs w:val="20"/>
              </w:rPr>
            </w:pPr>
            <w:r>
              <w:rPr>
                <w:sz w:val="20"/>
                <w:szCs w:val="20"/>
              </w:rPr>
              <w:t>10</w:t>
            </w:r>
          </w:p>
        </w:tc>
        <w:tc>
          <w:tcPr>
            <w:tcW w:w="811" w:type="dxa"/>
            <w:shd w:val="clear" w:color="auto" w:fill="auto"/>
          </w:tcPr>
          <w:p w:rsidR="00BC7C62" w:rsidRPr="0005701B" w:rsidRDefault="00BC7C62" w:rsidP="00E9401F">
            <w:pPr>
              <w:pStyle w:val="NoSpacing"/>
              <w:jc w:val="center"/>
              <w:rPr>
                <w:sz w:val="20"/>
                <w:szCs w:val="20"/>
              </w:rPr>
            </w:pPr>
            <w:r>
              <w:rPr>
                <w:sz w:val="20"/>
                <w:szCs w:val="20"/>
              </w:rPr>
              <w:t>15%</w:t>
            </w:r>
          </w:p>
        </w:tc>
        <w:tc>
          <w:tcPr>
            <w:tcW w:w="911" w:type="dxa"/>
            <w:shd w:val="clear" w:color="auto" w:fill="auto"/>
          </w:tcPr>
          <w:p w:rsidR="00BC7C62" w:rsidRPr="0005701B" w:rsidRDefault="00BC7C62" w:rsidP="00E9401F">
            <w:pPr>
              <w:pStyle w:val="NoSpacing"/>
              <w:jc w:val="center"/>
              <w:rPr>
                <w:sz w:val="20"/>
                <w:szCs w:val="20"/>
              </w:rPr>
            </w:pPr>
            <w:r>
              <w:rPr>
                <w:sz w:val="20"/>
                <w:szCs w:val="20"/>
              </w:rPr>
              <w:t>12</w:t>
            </w:r>
          </w:p>
        </w:tc>
        <w:tc>
          <w:tcPr>
            <w:tcW w:w="680" w:type="dxa"/>
            <w:shd w:val="clear" w:color="auto" w:fill="auto"/>
          </w:tcPr>
          <w:p w:rsidR="00BC7C62" w:rsidRPr="0005701B" w:rsidRDefault="00BC7C62" w:rsidP="00E9401F">
            <w:pPr>
              <w:pStyle w:val="NoSpacing"/>
              <w:jc w:val="center"/>
              <w:rPr>
                <w:sz w:val="20"/>
                <w:szCs w:val="20"/>
              </w:rPr>
            </w:pPr>
            <w:r>
              <w:rPr>
                <w:sz w:val="20"/>
                <w:szCs w:val="20"/>
              </w:rPr>
              <w:t>18%</w:t>
            </w:r>
          </w:p>
        </w:tc>
        <w:tc>
          <w:tcPr>
            <w:tcW w:w="1042" w:type="dxa"/>
            <w:shd w:val="clear" w:color="auto" w:fill="auto"/>
          </w:tcPr>
          <w:p w:rsidR="00BC7C62" w:rsidRPr="0005701B" w:rsidRDefault="00BC7C62" w:rsidP="00E9401F">
            <w:pPr>
              <w:pStyle w:val="NoSpacing"/>
              <w:jc w:val="center"/>
              <w:rPr>
                <w:sz w:val="20"/>
                <w:szCs w:val="20"/>
              </w:rPr>
            </w:pPr>
            <w:r>
              <w:rPr>
                <w:sz w:val="20"/>
                <w:szCs w:val="20"/>
              </w:rPr>
              <w:t>28</w:t>
            </w:r>
          </w:p>
        </w:tc>
        <w:tc>
          <w:tcPr>
            <w:tcW w:w="744" w:type="dxa"/>
            <w:shd w:val="clear" w:color="auto" w:fill="auto"/>
          </w:tcPr>
          <w:p w:rsidR="00BC7C62" w:rsidRPr="0005701B" w:rsidRDefault="00BC7C62" w:rsidP="00E9401F">
            <w:pPr>
              <w:pStyle w:val="NoSpacing"/>
              <w:jc w:val="center"/>
              <w:rPr>
                <w:sz w:val="20"/>
                <w:szCs w:val="20"/>
              </w:rPr>
            </w:pPr>
            <w:r>
              <w:rPr>
                <w:sz w:val="20"/>
                <w:szCs w:val="20"/>
              </w:rPr>
              <w:t>42%</w:t>
            </w:r>
          </w:p>
        </w:tc>
      </w:tr>
    </w:tbl>
    <w:p w:rsidR="00BC7C62" w:rsidRDefault="00BC7C62" w:rsidP="00BC7C62"/>
    <w:p w:rsidR="00BC7C62" w:rsidRDefault="00531416" w:rsidP="00531416">
      <w:pPr>
        <w:pStyle w:val="Heading1"/>
      </w:pPr>
      <w:r>
        <w:t>College Facilities Committee (CFC)</w:t>
      </w:r>
    </w:p>
    <w:p w:rsidR="00531416" w:rsidRPr="00531416" w:rsidRDefault="00531416" w:rsidP="00531416"/>
    <w:tbl>
      <w:tblPr>
        <w:tblW w:w="11523"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819"/>
        <w:gridCol w:w="892"/>
        <w:gridCol w:w="1479"/>
        <w:gridCol w:w="804"/>
        <w:gridCol w:w="902"/>
        <w:gridCol w:w="675"/>
        <w:gridCol w:w="1032"/>
        <w:gridCol w:w="737"/>
      </w:tblGrid>
      <w:tr w:rsidR="00BC7C62" w:rsidRPr="004800BA" w:rsidTr="00D71344">
        <w:trPr>
          <w:trHeight w:val="247"/>
          <w:jc w:val="center"/>
        </w:trPr>
        <w:tc>
          <w:tcPr>
            <w:tcW w:w="4184" w:type="dxa"/>
            <w:shd w:val="clear" w:color="auto" w:fill="BFBFBF" w:themeFill="background1" w:themeFillShade="BF"/>
          </w:tcPr>
          <w:p w:rsidR="00BC7C62" w:rsidRPr="004800BA" w:rsidRDefault="00BC7C62" w:rsidP="00BC7C62">
            <w:pPr>
              <w:pStyle w:val="NoSpacing"/>
              <w:rPr>
                <w:b/>
              </w:rPr>
            </w:pPr>
            <w:r>
              <w:rPr>
                <w:b/>
              </w:rPr>
              <w:t>College Facilities Committee (CFC)</w:t>
            </w:r>
          </w:p>
        </w:tc>
        <w:tc>
          <w:tcPr>
            <w:tcW w:w="1710" w:type="dxa"/>
            <w:gridSpan w:val="2"/>
            <w:shd w:val="clear" w:color="auto" w:fill="BFBFBF" w:themeFill="background1" w:themeFillShade="BF"/>
          </w:tcPr>
          <w:p w:rsidR="00BC7C62" w:rsidRPr="004800BA" w:rsidRDefault="00BC7C62" w:rsidP="00E9401F">
            <w:pPr>
              <w:pStyle w:val="NoSpacing"/>
              <w:rPr>
                <w:b/>
              </w:rPr>
            </w:pPr>
            <w:r>
              <w:rPr>
                <w:b/>
              </w:rPr>
              <w:t>Always/Most of the Time</w:t>
            </w:r>
          </w:p>
        </w:tc>
        <w:tc>
          <w:tcPr>
            <w:tcW w:w="2283" w:type="dxa"/>
            <w:gridSpan w:val="2"/>
            <w:shd w:val="clear" w:color="auto" w:fill="BFBFBF" w:themeFill="background1" w:themeFillShade="BF"/>
          </w:tcPr>
          <w:p w:rsidR="00BC7C62" w:rsidRPr="004800BA" w:rsidRDefault="00BC7C62" w:rsidP="00E9401F">
            <w:pPr>
              <w:pStyle w:val="NoSpacing"/>
              <w:rPr>
                <w:b/>
              </w:rPr>
            </w:pPr>
            <w:r>
              <w:rPr>
                <w:b/>
              </w:rPr>
              <w:t>Occasionally/Some of the Time</w:t>
            </w:r>
          </w:p>
        </w:tc>
        <w:tc>
          <w:tcPr>
            <w:tcW w:w="1577" w:type="dxa"/>
            <w:gridSpan w:val="2"/>
            <w:shd w:val="clear" w:color="auto" w:fill="BFBFBF" w:themeFill="background1" w:themeFillShade="BF"/>
          </w:tcPr>
          <w:p w:rsidR="00BC7C62" w:rsidRPr="004800BA" w:rsidRDefault="00BC7C62" w:rsidP="00E9401F">
            <w:pPr>
              <w:pStyle w:val="NoSpacing"/>
              <w:rPr>
                <w:b/>
              </w:rPr>
            </w:pPr>
            <w:r>
              <w:rPr>
                <w:b/>
              </w:rPr>
              <w:t>Rarely/Never</w:t>
            </w:r>
          </w:p>
        </w:tc>
        <w:tc>
          <w:tcPr>
            <w:tcW w:w="1769" w:type="dxa"/>
            <w:gridSpan w:val="2"/>
            <w:shd w:val="clear" w:color="auto" w:fill="BFBFBF" w:themeFill="background1" w:themeFillShade="BF"/>
          </w:tcPr>
          <w:p w:rsidR="00BC7C62" w:rsidRPr="004800BA" w:rsidRDefault="00BC7C62" w:rsidP="00E9401F">
            <w:pPr>
              <w:pStyle w:val="NoSpacing"/>
              <w:rPr>
                <w:b/>
              </w:rPr>
            </w:pPr>
            <w:r>
              <w:rPr>
                <w:b/>
              </w:rPr>
              <w:t>I don’t know.</w:t>
            </w:r>
          </w:p>
        </w:tc>
      </w:tr>
      <w:tr w:rsidR="00BC7C62" w:rsidRPr="0005701B" w:rsidTr="00D71344">
        <w:trPr>
          <w:trHeight w:val="136"/>
          <w:jc w:val="center"/>
        </w:trPr>
        <w:tc>
          <w:tcPr>
            <w:tcW w:w="4184" w:type="dxa"/>
            <w:shd w:val="clear" w:color="auto" w:fill="auto"/>
          </w:tcPr>
          <w:p w:rsidR="00BC7C62" w:rsidRDefault="00BC7C62" w:rsidP="00E9401F">
            <w:pPr>
              <w:pStyle w:val="NoSpacing"/>
            </w:pPr>
            <w:r>
              <w:lastRenderedPageBreak/>
              <w:t>CFC identifies, prioritizes and recommends areas of facility needs for the campus.</w:t>
            </w:r>
          </w:p>
        </w:tc>
        <w:tc>
          <w:tcPr>
            <w:tcW w:w="819" w:type="dxa"/>
            <w:shd w:val="clear" w:color="auto" w:fill="auto"/>
          </w:tcPr>
          <w:p w:rsidR="00BC7C62" w:rsidRPr="0005701B" w:rsidRDefault="00BC7C62" w:rsidP="00E9401F">
            <w:pPr>
              <w:pStyle w:val="NoSpacing"/>
              <w:jc w:val="center"/>
              <w:rPr>
                <w:sz w:val="20"/>
                <w:szCs w:val="20"/>
              </w:rPr>
            </w:pPr>
            <w:r>
              <w:rPr>
                <w:sz w:val="20"/>
                <w:szCs w:val="20"/>
              </w:rPr>
              <w:t>18</w:t>
            </w:r>
          </w:p>
        </w:tc>
        <w:tc>
          <w:tcPr>
            <w:tcW w:w="892" w:type="dxa"/>
            <w:shd w:val="clear" w:color="auto" w:fill="auto"/>
          </w:tcPr>
          <w:p w:rsidR="00BC7C62" w:rsidRPr="0005701B" w:rsidRDefault="00BC7C62" w:rsidP="00E9401F">
            <w:pPr>
              <w:pStyle w:val="NoSpacing"/>
              <w:jc w:val="center"/>
              <w:rPr>
                <w:sz w:val="20"/>
                <w:szCs w:val="20"/>
              </w:rPr>
            </w:pPr>
            <w:r>
              <w:rPr>
                <w:sz w:val="20"/>
                <w:szCs w:val="20"/>
              </w:rPr>
              <w:t>26%</w:t>
            </w:r>
          </w:p>
        </w:tc>
        <w:tc>
          <w:tcPr>
            <w:tcW w:w="1479" w:type="dxa"/>
            <w:shd w:val="clear" w:color="auto" w:fill="auto"/>
          </w:tcPr>
          <w:p w:rsidR="00BC7C62" w:rsidRPr="0005701B" w:rsidRDefault="00BC7C62" w:rsidP="00E9401F">
            <w:pPr>
              <w:pStyle w:val="NoSpacing"/>
              <w:jc w:val="center"/>
              <w:rPr>
                <w:sz w:val="20"/>
                <w:szCs w:val="20"/>
              </w:rPr>
            </w:pPr>
            <w:r>
              <w:rPr>
                <w:sz w:val="20"/>
                <w:szCs w:val="20"/>
              </w:rPr>
              <w:t>21</w:t>
            </w:r>
          </w:p>
        </w:tc>
        <w:tc>
          <w:tcPr>
            <w:tcW w:w="804" w:type="dxa"/>
            <w:shd w:val="clear" w:color="auto" w:fill="auto"/>
          </w:tcPr>
          <w:p w:rsidR="00BC7C62" w:rsidRPr="0005701B" w:rsidRDefault="00BC7C62" w:rsidP="00E9401F">
            <w:pPr>
              <w:pStyle w:val="NoSpacing"/>
              <w:jc w:val="center"/>
              <w:rPr>
                <w:sz w:val="20"/>
                <w:szCs w:val="20"/>
              </w:rPr>
            </w:pPr>
            <w:r>
              <w:rPr>
                <w:sz w:val="20"/>
                <w:szCs w:val="20"/>
              </w:rPr>
              <w:t>30%</w:t>
            </w:r>
          </w:p>
        </w:tc>
        <w:tc>
          <w:tcPr>
            <w:tcW w:w="902" w:type="dxa"/>
            <w:shd w:val="clear" w:color="auto" w:fill="auto"/>
          </w:tcPr>
          <w:p w:rsidR="00BC7C62" w:rsidRPr="0005701B" w:rsidRDefault="00BC7C62" w:rsidP="00E9401F">
            <w:pPr>
              <w:pStyle w:val="NoSpacing"/>
              <w:jc w:val="center"/>
              <w:rPr>
                <w:sz w:val="20"/>
                <w:szCs w:val="20"/>
              </w:rPr>
            </w:pPr>
            <w:r>
              <w:rPr>
                <w:sz w:val="20"/>
                <w:szCs w:val="20"/>
              </w:rPr>
              <w:t>3</w:t>
            </w:r>
          </w:p>
        </w:tc>
        <w:tc>
          <w:tcPr>
            <w:tcW w:w="674" w:type="dxa"/>
            <w:shd w:val="clear" w:color="auto" w:fill="auto"/>
          </w:tcPr>
          <w:p w:rsidR="00BC7C62" w:rsidRPr="0005701B" w:rsidRDefault="00BC7C62" w:rsidP="00E9401F">
            <w:pPr>
              <w:pStyle w:val="NoSpacing"/>
              <w:jc w:val="center"/>
              <w:rPr>
                <w:sz w:val="20"/>
                <w:szCs w:val="20"/>
              </w:rPr>
            </w:pPr>
            <w:r>
              <w:rPr>
                <w:sz w:val="20"/>
                <w:szCs w:val="20"/>
              </w:rPr>
              <w:t>4%</w:t>
            </w:r>
          </w:p>
        </w:tc>
        <w:tc>
          <w:tcPr>
            <w:tcW w:w="1032" w:type="dxa"/>
            <w:shd w:val="clear" w:color="auto" w:fill="auto"/>
          </w:tcPr>
          <w:p w:rsidR="00BC7C62" w:rsidRPr="0005701B" w:rsidRDefault="00BC7C62" w:rsidP="00E9401F">
            <w:pPr>
              <w:pStyle w:val="NoSpacing"/>
              <w:jc w:val="center"/>
              <w:rPr>
                <w:sz w:val="20"/>
                <w:szCs w:val="20"/>
              </w:rPr>
            </w:pPr>
            <w:r>
              <w:rPr>
                <w:sz w:val="20"/>
                <w:szCs w:val="20"/>
              </w:rPr>
              <w:t>28</w:t>
            </w:r>
          </w:p>
        </w:tc>
        <w:tc>
          <w:tcPr>
            <w:tcW w:w="737" w:type="dxa"/>
            <w:shd w:val="clear" w:color="auto" w:fill="auto"/>
          </w:tcPr>
          <w:p w:rsidR="00BC7C62" w:rsidRPr="0005701B" w:rsidRDefault="00BC7C62" w:rsidP="00E9401F">
            <w:pPr>
              <w:pStyle w:val="NoSpacing"/>
              <w:jc w:val="center"/>
              <w:rPr>
                <w:sz w:val="20"/>
                <w:szCs w:val="20"/>
              </w:rPr>
            </w:pPr>
            <w:r>
              <w:rPr>
                <w:sz w:val="20"/>
                <w:szCs w:val="20"/>
              </w:rPr>
              <w:t>40%</w:t>
            </w:r>
          </w:p>
        </w:tc>
      </w:tr>
      <w:tr w:rsidR="00BC7C62" w:rsidRPr="0005701B" w:rsidTr="00D71344">
        <w:trPr>
          <w:trHeight w:val="145"/>
          <w:jc w:val="center"/>
        </w:trPr>
        <w:tc>
          <w:tcPr>
            <w:tcW w:w="4184" w:type="dxa"/>
            <w:shd w:val="clear" w:color="auto" w:fill="auto"/>
          </w:tcPr>
          <w:p w:rsidR="00BC7C62" w:rsidRDefault="00BC7C62" w:rsidP="00E9401F">
            <w:pPr>
              <w:pStyle w:val="NoSpacing"/>
            </w:pPr>
            <w:r>
              <w:t>CFC receives and relays information from the District Facilities committee to Merritt and the constituents.</w:t>
            </w:r>
          </w:p>
        </w:tc>
        <w:tc>
          <w:tcPr>
            <w:tcW w:w="819" w:type="dxa"/>
            <w:shd w:val="clear" w:color="auto" w:fill="auto"/>
          </w:tcPr>
          <w:p w:rsidR="00BC7C62" w:rsidRPr="0005701B" w:rsidRDefault="00BC7C62" w:rsidP="00E9401F">
            <w:pPr>
              <w:pStyle w:val="NoSpacing"/>
              <w:jc w:val="center"/>
              <w:rPr>
                <w:sz w:val="20"/>
                <w:szCs w:val="20"/>
              </w:rPr>
            </w:pPr>
            <w:r>
              <w:rPr>
                <w:sz w:val="20"/>
                <w:szCs w:val="20"/>
              </w:rPr>
              <w:t>15</w:t>
            </w:r>
          </w:p>
        </w:tc>
        <w:tc>
          <w:tcPr>
            <w:tcW w:w="892" w:type="dxa"/>
            <w:shd w:val="clear" w:color="auto" w:fill="auto"/>
          </w:tcPr>
          <w:p w:rsidR="00BC7C62" w:rsidRPr="0005701B" w:rsidRDefault="00BC7C62" w:rsidP="00E9401F">
            <w:pPr>
              <w:pStyle w:val="NoSpacing"/>
              <w:jc w:val="center"/>
              <w:rPr>
                <w:sz w:val="20"/>
                <w:szCs w:val="20"/>
              </w:rPr>
            </w:pPr>
            <w:r>
              <w:rPr>
                <w:sz w:val="20"/>
                <w:szCs w:val="20"/>
              </w:rPr>
              <w:t>21%</w:t>
            </w:r>
          </w:p>
        </w:tc>
        <w:tc>
          <w:tcPr>
            <w:tcW w:w="1479" w:type="dxa"/>
            <w:shd w:val="clear" w:color="auto" w:fill="auto"/>
          </w:tcPr>
          <w:p w:rsidR="00BC7C62" w:rsidRPr="0005701B" w:rsidRDefault="00BC7C62" w:rsidP="00E9401F">
            <w:pPr>
              <w:pStyle w:val="NoSpacing"/>
              <w:jc w:val="center"/>
              <w:rPr>
                <w:sz w:val="20"/>
                <w:szCs w:val="20"/>
              </w:rPr>
            </w:pPr>
            <w:r>
              <w:rPr>
                <w:sz w:val="20"/>
                <w:szCs w:val="20"/>
              </w:rPr>
              <w:t>24</w:t>
            </w:r>
          </w:p>
        </w:tc>
        <w:tc>
          <w:tcPr>
            <w:tcW w:w="804" w:type="dxa"/>
            <w:shd w:val="clear" w:color="auto" w:fill="auto"/>
          </w:tcPr>
          <w:p w:rsidR="00BC7C62" w:rsidRPr="0005701B" w:rsidRDefault="00BC7C62" w:rsidP="00E9401F">
            <w:pPr>
              <w:pStyle w:val="NoSpacing"/>
              <w:jc w:val="center"/>
              <w:rPr>
                <w:sz w:val="20"/>
                <w:szCs w:val="20"/>
              </w:rPr>
            </w:pPr>
            <w:r>
              <w:rPr>
                <w:sz w:val="20"/>
                <w:szCs w:val="20"/>
              </w:rPr>
              <w:t>34%</w:t>
            </w:r>
          </w:p>
        </w:tc>
        <w:tc>
          <w:tcPr>
            <w:tcW w:w="902" w:type="dxa"/>
            <w:shd w:val="clear" w:color="auto" w:fill="auto"/>
          </w:tcPr>
          <w:p w:rsidR="00BC7C62" w:rsidRPr="0005701B" w:rsidRDefault="00BC7C62" w:rsidP="00E9401F">
            <w:pPr>
              <w:pStyle w:val="NoSpacing"/>
              <w:jc w:val="center"/>
              <w:rPr>
                <w:sz w:val="20"/>
                <w:szCs w:val="20"/>
              </w:rPr>
            </w:pPr>
            <w:r>
              <w:rPr>
                <w:sz w:val="20"/>
                <w:szCs w:val="20"/>
              </w:rPr>
              <w:t>5</w:t>
            </w:r>
          </w:p>
        </w:tc>
        <w:tc>
          <w:tcPr>
            <w:tcW w:w="674" w:type="dxa"/>
            <w:shd w:val="clear" w:color="auto" w:fill="auto"/>
          </w:tcPr>
          <w:p w:rsidR="00BC7C62" w:rsidRPr="0005701B" w:rsidRDefault="00BC7C62" w:rsidP="00E9401F">
            <w:pPr>
              <w:pStyle w:val="NoSpacing"/>
              <w:jc w:val="center"/>
              <w:rPr>
                <w:sz w:val="20"/>
                <w:szCs w:val="20"/>
              </w:rPr>
            </w:pPr>
            <w:r>
              <w:rPr>
                <w:sz w:val="20"/>
                <w:szCs w:val="20"/>
              </w:rPr>
              <w:t>7%</w:t>
            </w:r>
          </w:p>
        </w:tc>
        <w:tc>
          <w:tcPr>
            <w:tcW w:w="1032" w:type="dxa"/>
            <w:shd w:val="clear" w:color="auto" w:fill="auto"/>
          </w:tcPr>
          <w:p w:rsidR="00BC7C62" w:rsidRPr="0005701B" w:rsidRDefault="00BC7C62" w:rsidP="00E9401F">
            <w:pPr>
              <w:pStyle w:val="NoSpacing"/>
              <w:jc w:val="center"/>
              <w:rPr>
                <w:sz w:val="20"/>
                <w:szCs w:val="20"/>
              </w:rPr>
            </w:pPr>
            <w:r>
              <w:rPr>
                <w:sz w:val="20"/>
                <w:szCs w:val="20"/>
              </w:rPr>
              <w:t>26</w:t>
            </w:r>
          </w:p>
        </w:tc>
        <w:tc>
          <w:tcPr>
            <w:tcW w:w="737" w:type="dxa"/>
            <w:shd w:val="clear" w:color="auto" w:fill="auto"/>
          </w:tcPr>
          <w:p w:rsidR="00BC7C62" w:rsidRPr="0005701B" w:rsidRDefault="00BC7C62" w:rsidP="00E9401F">
            <w:pPr>
              <w:pStyle w:val="NoSpacing"/>
              <w:jc w:val="center"/>
              <w:rPr>
                <w:sz w:val="20"/>
                <w:szCs w:val="20"/>
              </w:rPr>
            </w:pPr>
            <w:r>
              <w:rPr>
                <w:sz w:val="20"/>
                <w:szCs w:val="20"/>
              </w:rPr>
              <w:t>37%</w:t>
            </w:r>
          </w:p>
        </w:tc>
      </w:tr>
      <w:tr w:rsidR="00BC7C62" w:rsidRPr="0005701B" w:rsidTr="00D71344">
        <w:trPr>
          <w:trHeight w:val="153"/>
          <w:jc w:val="center"/>
        </w:trPr>
        <w:tc>
          <w:tcPr>
            <w:tcW w:w="4184" w:type="dxa"/>
            <w:shd w:val="clear" w:color="auto" w:fill="auto"/>
          </w:tcPr>
          <w:p w:rsidR="00BC7C62" w:rsidRDefault="00BC7C62" w:rsidP="00E9401F">
            <w:pPr>
              <w:pStyle w:val="NoSpacing"/>
            </w:pPr>
            <w:r>
              <w:t>CFC represents all constituency groups when recommending facility needs and improvements.</w:t>
            </w:r>
          </w:p>
        </w:tc>
        <w:tc>
          <w:tcPr>
            <w:tcW w:w="819" w:type="dxa"/>
            <w:shd w:val="clear" w:color="auto" w:fill="auto"/>
          </w:tcPr>
          <w:p w:rsidR="00BC7C62" w:rsidRPr="0005701B" w:rsidRDefault="00BC7C62" w:rsidP="00E9401F">
            <w:pPr>
              <w:pStyle w:val="NoSpacing"/>
              <w:jc w:val="center"/>
              <w:rPr>
                <w:sz w:val="20"/>
                <w:szCs w:val="20"/>
              </w:rPr>
            </w:pPr>
            <w:r>
              <w:rPr>
                <w:sz w:val="20"/>
                <w:szCs w:val="20"/>
              </w:rPr>
              <w:t>16</w:t>
            </w:r>
          </w:p>
        </w:tc>
        <w:tc>
          <w:tcPr>
            <w:tcW w:w="892" w:type="dxa"/>
            <w:shd w:val="clear" w:color="auto" w:fill="auto"/>
          </w:tcPr>
          <w:p w:rsidR="00BC7C62" w:rsidRPr="0005701B" w:rsidRDefault="00BC7C62" w:rsidP="00E9401F">
            <w:pPr>
              <w:pStyle w:val="NoSpacing"/>
              <w:jc w:val="center"/>
              <w:rPr>
                <w:sz w:val="20"/>
                <w:szCs w:val="20"/>
              </w:rPr>
            </w:pPr>
            <w:r>
              <w:rPr>
                <w:sz w:val="20"/>
                <w:szCs w:val="20"/>
              </w:rPr>
              <w:t>23%</w:t>
            </w:r>
          </w:p>
        </w:tc>
        <w:tc>
          <w:tcPr>
            <w:tcW w:w="1479" w:type="dxa"/>
            <w:shd w:val="clear" w:color="auto" w:fill="auto"/>
          </w:tcPr>
          <w:p w:rsidR="00BC7C62" w:rsidRPr="0005701B" w:rsidRDefault="00BC7C62" w:rsidP="00E9401F">
            <w:pPr>
              <w:pStyle w:val="NoSpacing"/>
              <w:jc w:val="center"/>
              <w:rPr>
                <w:sz w:val="20"/>
                <w:szCs w:val="20"/>
              </w:rPr>
            </w:pPr>
            <w:r>
              <w:rPr>
                <w:sz w:val="20"/>
                <w:szCs w:val="20"/>
              </w:rPr>
              <w:t>18</w:t>
            </w:r>
          </w:p>
        </w:tc>
        <w:tc>
          <w:tcPr>
            <w:tcW w:w="804" w:type="dxa"/>
            <w:shd w:val="clear" w:color="auto" w:fill="auto"/>
          </w:tcPr>
          <w:p w:rsidR="00BC7C62" w:rsidRPr="0005701B" w:rsidRDefault="00BC7C62" w:rsidP="00E9401F">
            <w:pPr>
              <w:pStyle w:val="NoSpacing"/>
              <w:jc w:val="center"/>
              <w:rPr>
                <w:sz w:val="20"/>
                <w:szCs w:val="20"/>
              </w:rPr>
            </w:pPr>
            <w:r>
              <w:rPr>
                <w:sz w:val="20"/>
                <w:szCs w:val="20"/>
              </w:rPr>
              <w:t>26%</w:t>
            </w:r>
          </w:p>
        </w:tc>
        <w:tc>
          <w:tcPr>
            <w:tcW w:w="902" w:type="dxa"/>
            <w:shd w:val="clear" w:color="auto" w:fill="auto"/>
          </w:tcPr>
          <w:p w:rsidR="00BC7C62" w:rsidRPr="0005701B" w:rsidRDefault="00BC7C62" w:rsidP="00E9401F">
            <w:pPr>
              <w:pStyle w:val="NoSpacing"/>
              <w:jc w:val="center"/>
              <w:rPr>
                <w:sz w:val="20"/>
                <w:szCs w:val="20"/>
              </w:rPr>
            </w:pPr>
            <w:r>
              <w:rPr>
                <w:sz w:val="20"/>
                <w:szCs w:val="20"/>
              </w:rPr>
              <w:t>6</w:t>
            </w:r>
          </w:p>
        </w:tc>
        <w:tc>
          <w:tcPr>
            <w:tcW w:w="674" w:type="dxa"/>
            <w:shd w:val="clear" w:color="auto" w:fill="auto"/>
          </w:tcPr>
          <w:p w:rsidR="00BC7C62" w:rsidRPr="0005701B" w:rsidRDefault="00BC7C62" w:rsidP="00E9401F">
            <w:pPr>
              <w:pStyle w:val="NoSpacing"/>
              <w:jc w:val="center"/>
              <w:rPr>
                <w:sz w:val="20"/>
                <w:szCs w:val="20"/>
              </w:rPr>
            </w:pPr>
            <w:r>
              <w:rPr>
                <w:sz w:val="20"/>
                <w:szCs w:val="20"/>
              </w:rPr>
              <w:t>9%</w:t>
            </w:r>
          </w:p>
        </w:tc>
        <w:tc>
          <w:tcPr>
            <w:tcW w:w="1032" w:type="dxa"/>
            <w:shd w:val="clear" w:color="auto" w:fill="auto"/>
          </w:tcPr>
          <w:p w:rsidR="00BC7C62" w:rsidRPr="0005701B" w:rsidRDefault="00BC7C62" w:rsidP="00E9401F">
            <w:pPr>
              <w:pStyle w:val="NoSpacing"/>
              <w:jc w:val="center"/>
              <w:rPr>
                <w:sz w:val="20"/>
                <w:szCs w:val="20"/>
              </w:rPr>
            </w:pPr>
            <w:r>
              <w:rPr>
                <w:sz w:val="20"/>
                <w:szCs w:val="20"/>
              </w:rPr>
              <w:t>30</w:t>
            </w:r>
          </w:p>
        </w:tc>
        <w:tc>
          <w:tcPr>
            <w:tcW w:w="737" w:type="dxa"/>
            <w:shd w:val="clear" w:color="auto" w:fill="auto"/>
          </w:tcPr>
          <w:p w:rsidR="00BC7C62" w:rsidRPr="0005701B" w:rsidRDefault="00BC7C62" w:rsidP="00E9401F">
            <w:pPr>
              <w:pStyle w:val="NoSpacing"/>
              <w:jc w:val="center"/>
              <w:rPr>
                <w:sz w:val="20"/>
                <w:szCs w:val="20"/>
              </w:rPr>
            </w:pPr>
            <w:r>
              <w:rPr>
                <w:sz w:val="20"/>
                <w:szCs w:val="20"/>
              </w:rPr>
              <w:t>43%</w:t>
            </w:r>
          </w:p>
        </w:tc>
      </w:tr>
    </w:tbl>
    <w:p w:rsidR="00BC7C62" w:rsidRDefault="00BC7C62" w:rsidP="00BC7C62"/>
    <w:p w:rsidR="00BC7C62" w:rsidRDefault="00531416" w:rsidP="00531416">
      <w:pPr>
        <w:pStyle w:val="Heading1"/>
      </w:pPr>
      <w:r>
        <w:t>College Technology Committee (CTC)</w:t>
      </w:r>
    </w:p>
    <w:p w:rsidR="00531416" w:rsidRPr="00531416" w:rsidRDefault="00531416" w:rsidP="00531416"/>
    <w:tbl>
      <w:tblPr>
        <w:tblW w:w="11729"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8"/>
        <w:gridCol w:w="834"/>
        <w:gridCol w:w="907"/>
        <w:gridCol w:w="1505"/>
        <w:gridCol w:w="819"/>
        <w:gridCol w:w="919"/>
        <w:gridCol w:w="686"/>
        <w:gridCol w:w="1051"/>
        <w:gridCol w:w="750"/>
      </w:tblGrid>
      <w:tr w:rsidR="00BC7C62" w:rsidRPr="004800BA" w:rsidTr="00D71344">
        <w:trPr>
          <w:trHeight w:val="282"/>
          <w:jc w:val="center"/>
        </w:trPr>
        <w:tc>
          <w:tcPr>
            <w:tcW w:w="4258" w:type="dxa"/>
            <w:shd w:val="clear" w:color="auto" w:fill="BFBFBF" w:themeFill="background1" w:themeFillShade="BF"/>
          </w:tcPr>
          <w:p w:rsidR="00BC7C62" w:rsidRPr="004800BA" w:rsidRDefault="00BC7C62" w:rsidP="00BC7C62">
            <w:pPr>
              <w:pStyle w:val="NoSpacing"/>
              <w:rPr>
                <w:b/>
              </w:rPr>
            </w:pPr>
            <w:r>
              <w:rPr>
                <w:b/>
              </w:rPr>
              <w:t>College Technology Committee (CTC)</w:t>
            </w:r>
          </w:p>
        </w:tc>
        <w:tc>
          <w:tcPr>
            <w:tcW w:w="1741" w:type="dxa"/>
            <w:gridSpan w:val="2"/>
            <w:shd w:val="clear" w:color="auto" w:fill="BFBFBF" w:themeFill="background1" w:themeFillShade="BF"/>
          </w:tcPr>
          <w:p w:rsidR="00BC7C62" w:rsidRPr="004800BA" w:rsidRDefault="00BC7C62" w:rsidP="00E9401F">
            <w:pPr>
              <w:pStyle w:val="NoSpacing"/>
              <w:rPr>
                <w:b/>
              </w:rPr>
            </w:pPr>
            <w:r>
              <w:rPr>
                <w:b/>
              </w:rPr>
              <w:t>Always/Most of the Time</w:t>
            </w:r>
          </w:p>
        </w:tc>
        <w:tc>
          <w:tcPr>
            <w:tcW w:w="2324" w:type="dxa"/>
            <w:gridSpan w:val="2"/>
            <w:shd w:val="clear" w:color="auto" w:fill="BFBFBF" w:themeFill="background1" w:themeFillShade="BF"/>
          </w:tcPr>
          <w:p w:rsidR="00BC7C62" w:rsidRPr="004800BA" w:rsidRDefault="00BC7C62" w:rsidP="00E9401F">
            <w:pPr>
              <w:pStyle w:val="NoSpacing"/>
              <w:rPr>
                <w:b/>
              </w:rPr>
            </w:pPr>
            <w:r>
              <w:rPr>
                <w:b/>
              </w:rPr>
              <w:t>Occasionally/Some of the Time</w:t>
            </w:r>
          </w:p>
        </w:tc>
        <w:tc>
          <w:tcPr>
            <w:tcW w:w="1605" w:type="dxa"/>
            <w:gridSpan w:val="2"/>
            <w:shd w:val="clear" w:color="auto" w:fill="BFBFBF" w:themeFill="background1" w:themeFillShade="BF"/>
          </w:tcPr>
          <w:p w:rsidR="00BC7C62" w:rsidRPr="004800BA" w:rsidRDefault="00BC7C62" w:rsidP="00E9401F">
            <w:pPr>
              <w:pStyle w:val="NoSpacing"/>
              <w:rPr>
                <w:b/>
              </w:rPr>
            </w:pPr>
            <w:r>
              <w:rPr>
                <w:b/>
              </w:rPr>
              <w:t>Rarely/Never</w:t>
            </w:r>
          </w:p>
        </w:tc>
        <w:tc>
          <w:tcPr>
            <w:tcW w:w="1801" w:type="dxa"/>
            <w:gridSpan w:val="2"/>
            <w:shd w:val="clear" w:color="auto" w:fill="BFBFBF" w:themeFill="background1" w:themeFillShade="BF"/>
          </w:tcPr>
          <w:p w:rsidR="00BC7C62" w:rsidRPr="004800BA" w:rsidRDefault="00BC7C62" w:rsidP="00E9401F">
            <w:pPr>
              <w:pStyle w:val="NoSpacing"/>
              <w:rPr>
                <w:b/>
              </w:rPr>
            </w:pPr>
            <w:r>
              <w:rPr>
                <w:b/>
              </w:rPr>
              <w:t>I don’t know.</w:t>
            </w:r>
          </w:p>
        </w:tc>
      </w:tr>
      <w:tr w:rsidR="00BC7C62" w:rsidRPr="0005701B" w:rsidTr="00D71344">
        <w:trPr>
          <w:trHeight w:val="154"/>
          <w:jc w:val="center"/>
        </w:trPr>
        <w:tc>
          <w:tcPr>
            <w:tcW w:w="4258" w:type="dxa"/>
            <w:shd w:val="clear" w:color="auto" w:fill="auto"/>
          </w:tcPr>
          <w:p w:rsidR="00BC7C62" w:rsidRDefault="00BC7C62" w:rsidP="00E9401F">
            <w:pPr>
              <w:pStyle w:val="NoSpacing"/>
            </w:pPr>
            <w:r>
              <w:t>CTC identifies, prioritizes and recommends areas of technology needs for the campus.</w:t>
            </w:r>
          </w:p>
        </w:tc>
        <w:tc>
          <w:tcPr>
            <w:tcW w:w="834" w:type="dxa"/>
            <w:shd w:val="clear" w:color="auto" w:fill="auto"/>
          </w:tcPr>
          <w:p w:rsidR="00BC7C62" w:rsidRPr="0005701B" w:rsidRDefault="00BC7C62" w:rsidP="00E9401F">
            <w:pPr>
              <w:pStyle w:val="NoSpacing"/>
              <w:jc w:val="center"/>
              <w:rPr>
                <w:sz w:val="20"/>
                <w:szCs w:val="20"/>
              </w:rPr>
            </w:pPr>
            <w:r>
              <w:rPr>
                <w:sz w:val="20"/>
                <w:szCs w:val="20"/>
              </w:rPr>
              <w:t>30</w:t>
            </w:r>
          </w:p>
        </w:tc>
        <w:tc>
          <w:tcPr>
            <w:tcW w:w="907" w:type="dxa"/>
            <w:shd w:val="clear" w:color="auto" w:fill="auto"/>
          </w:tcPr>
          <w:p w:rsidR="00BC7C62" w:rsidRPr="0005701B" w:rsidRDefault="007B2703" w:rsidP="00E9401F">
            <w:pPr>
              <w:pStyle w:val="NoSpacing"/>
              <w:jc w:val="center"/>
              <w:rPr>
                <w:sz w:val="20"/>
                <w:szCs w:val="20"/>
              </w:rPr>
            </w:pPr>
            <w:r>
              <w:rPr>
                <w:sz w:val="20"/>
                <w:szCs w:val="20"/>
              </w:rPr>
              <w:t>43%</w:t>
            </w:r>
          </w:p>
        </w:tc>
        <w:tc>
          <w:tcPr>
            <w:tcW w:w="1505" w:type="dxa"/>
            <w:shd w:val="clear" w:color="auto" w:fill="auto"/>
          </w:tcPr>
          <w:p w:rsidR="00BC7C62" w:rsidRPr="0005701B" w:rsidRDefault="00BC7C62" w:rsidP="00E9401F">
            <w:pPr>
              <w:pStyle w:val="NoSpacing"/>
              <w:jc w:val="center"/>
              <w:rPr>
                <w:sz w:val="20"/>
                <w:szCs w:val="20"/>
              </w:rPr>
            </w:pPr>
            <w:r>
              <w:rPr>
                <w:sz w:val="20"/>
                <w:szCs w:val="20"/>
              </w:rPr>
              <w:t>10</w:t>
            </w:r>
          </w:p>
        </w:tc>
        <w:tc>
          <w:tcPr>
            <w:tcW w:w="818" w:type="dxa"/>
            <w:shd w:val="clear" w:color="auto" w:fill="auto"/>
          </w:tcPr>
          <w:p w:rsidR="00BC7C62" w:rsidRPr="0005701B" w:rsidRDefault="007B2703" w:rsidP="00E9401F">
            <w:pPr>
              <w:pStyle w:val="NoSpacing"/>
              <w:jc w:val="center"/>
              <w:rPr>
                <w:sz w:val="20"/>
                <w:szCs w:val="20"/>
              </w:rPr>
            </w:pPr>
            <w:r>
              <w:rPr>
                <w:sz w:val="20"/>
                <w:szCs w:val="20"/>
              </w:rPr>
              <w:t>14%</w:t>
            </w:r>
          </w:p>
        </w:tc>
        <w:tc>
          <w:tcPr>
            <w:tcW w:w="919" w:type="dxa"/>
            <w:shd w:val="clear" w:color="auto" w:fill="auto"/>
          </w:tcPr>
          <w:p w:rsidR="00BC7C62" w:rsidRPr="0005701B" w:rsidRDefault="00BC7C62" w:rsidP="00E9401F">
            <w:pPr>
              <w:pStyle w:val="NoSpacing"/>
              <w:jc w:val="center"/>
              <w:rPr>
                <w:sz w:val="20"/>
                <w:szCs w:val="20"/>
              </w:rPr>
            </w:pPr>
            <w:r>
              <w:rPr>
                <w:sz w:val="20"/>
                <w:szCs w:val="20"/>
              </w:rPr>
              <w:t>9</w:t>
            </w:r>
          </w:p>
        </w:tc>
        <w:tc>
          <w:tcPr>
            <w:tcW w:w="686" w:type="dxa"/>
            <w:shd w:val="clear" w:color="auto" w:fill="auto"/>
          </w:tcPr>
          <w:p w:rsidR="00BC7C62" w:rsidRPr="0005701B" w:rsidRDefault="007B2703" w:rsidP="00E9401F">
            <w:pPr>
              <w:pStyle w:val="NoSpacing"/>
              <w:jc w:val="center"/>
              <w:rPr>
                <w:sz w:val="20"/>
                <w:szCs w:val="20"/>
              </w:rPr>
            </w:pPr>
            <w:r>
              <w:rPr>
                <w:sz w:val="20"/>
                <w:szCs w:val="20"/>
              </w:rPr>
              <w:t>13%</w:t>
            </w:r>
          </w:p>
        </w:tc>
        <w:tc>
          <w:tcPr>
            <w:tcW w:w="1051" w:type="dxa"/>
            <w:shd w:val="clear" w:color="auto" w:fill="auto"/>
          </w:tcPr>
          <w:p w:rsidR="00BC7C62" w:rsidRPr="0005701B" w:rsidRDefault="00BC7C62" w:rsidP="00E9401F">
            <w:pPr>
              <w:pStyle w:val="NoSpacing"/>
              <w:jc w:val="center"/>
              <w:rPr>
                <w:sz w:val="20"/>
                <w:szCs w:val="20"/>
              </w:rPr>
            </w:pPr>
            <w:r>
              <w:rPr>
                <w:sz w:val="20"/>
                <w:szCs w:val="20"/>
              </w:rPr>
              <w:t>21</w:t>
            </w:r>
          </w:p>
        </w:tc>
        <w:tc>
          <w:tcPr>
            <w:tcW w:w="750" w:type="dxa"/>
            <w:shd w:val="clear" w:color="auto" w:fill="auto"/>
          </w:tcPr>
          <w:p w:rsidR="00BC7C62" w:rsidRPr="0005701B" w:rsidRDefault="007B2703" w:rsidP="00E9401F">
            <w:pPr>
              <w:pStyle w:val="NoSpacing"/>
              <w:jc w:val="center"/>
              <w:rPr>
                <w:sz w:val="20"/>
                <w:szCs w:val="20"/>
              </w:rPr>
            </w:pPr>
            <w:r>
              <w:rPr>
                <w:sz w:val="20"/>
                <w:szCs w:val="20"/>
              </w:rPr>
              <w:t>30%</w:t>
            </w:r>
          </w:p>
        </w:tc>
      </w:tr>
      <w:tr w:rsidR="00BC7C62" w:rsidRPr="0005701B" w:rsidTr="00D71344">
        <w:trPr>
          <w:trHeight w:val="165"/>
          <w:jc w:val="center"/>
        </w:trPr>
        <w:tc>
          <w:tcPr>
            <w:tcW w:w="4258" w:type="dxa"/>
            <w:shd w:val="clear" w:color="auto" w:fill="auto"/>
          </w:tcPr>
          <w:p w:rsidR="00BC7C62" w:rsidRDefault="00BC7C62" w:rsidP="00BC7C62">
            <w:pPr>
              <w:pStyle w:val="NoSpacing"/>
            </w:pPr>
            <w:r>
              <w:t>CTC receives and relays information from the District Technology committee to Merritt and the constituents.</w:t>
            </w:r>
          </w:p>
        </w:tc>
        <w:tc>
          <w:tcPr>
            <w:tcW w:w="834" w:type="dxa"/>
            <w:shd w:val="clear" w:color="auto" w:fill="auto"/>
          </w:tcPr>
          <w:p w:rsidR="00BC7C62" w:rsidRPr="0005701B" w:rsidRDefault="00BC7C62" w:rsidP="00E9401F">
            <w:pPr>
              <w:pStyle w:val="NoSpacing"/>
              <w:jc w:val="center"/>
              <w:rPr>
                <w:sz w:val="20"/>
                <w:szCs w:val="20"/>
              </w:rPr>
            </w:pPr>
            <w:r>
              <w:rPr>
                <w:sz w:val="20"/>
                <w:szCs w:val="20"/>
              </w:rPr>
              <w:t>24</w:t>
            </w:r>
          </w:p>
        </w:tc>
        <w:tc>
          <w:tcPr>
            <w:tcW w:w="907" w:type="dxa"/>
            <w:shd w:val="clear" w:color="auto" w:fill="auto"/>
          </w:tcPr>
          <w:p w:rsidR="00BC7C62" w:rsidRPr="0005701B" w:rsidRDefault="007B2703" w:rsidP="00E9401F">
            <w:pPr>
              <w:pStyle w:val="NoSpacing"/>
              <w:jc w:val="center"/>
              <w:rPr>
                <w:sz w:val="20"/>
                <w:szCs w:val="20"/>
              </w:rPr>
            </w:pPr>
            <w:r>
              <w:rPr>
                <w:sz w:val="20"/>
                <w:szCs w:val="20"/>
              </w:rPr>
              <w:t>34%</w:t>
            </w:r>
          </w:p>
        </w:tc>
        <w:tc>
          <w:tcPr>
            <w:tcW w:w="1505" w:type="dxa"/>
            <w:shd w:val="clear" w:color="auto" w:fill="auto"/>
          </w:tcPr>
          <w:p w:rsidR="00BC7C62" w:rsidRPr="0005701B" w:rsidRDefault="00BC7C62" w:rsidP="00E9401F">
            <w:pPr>
              <w:pStyle w:val="NoSpacing"/>
              <w:jc w:val="center"/>
              <w:rPr>
                <w:sz w:val="20"/>
                <w:szCs w:val="20"/>
              </w:rPr>
            </w:pPr>
            <w:r>
              <w:rPr>
                <w:sz w:val="20"/>
                <w:szCs w:val="20"/>
              </w:rPr>
              <w:t>1</w:t>
            </w:r>
            <w:r w:rsidR="007B2703">
              <w:rPr>
                <w:sz w:val="20"/>
                <w:szCs w:val="20"/>
              </w:rPr>
              <w:t>1</w:t>
            </w:r>
          </w:p>
        </w:tc>
        <w:tc>
          <w:tcPr>
            <w:tcW w:w="818" w:type="dxa"/>
            <w:shd w:val="clear" w:color="auto" w:fill="auto"/>
          </w:tcPr>
          <w:p w:rsidR="00BC7C62" w:rsidRPr="0005701B" w:rsidRDefault="007B2703" w:rsidP="00E9401F">
            <w:pPr>
              <w:pStyle w:val="NoSpacing"/>
              <w:jc w:val="center"/>
              <w:rPr>
                <w:sz w:val="20"/>
                <w:szCs w:val="20"/>
              </w:rPr>
            </w:pPr>
            <w:r>
              <w:rPr>
                <w:sz w:val="20"/>
                <w:szCs w:val="20"/>
              </w:rPr>
              <w:t>16%</w:t>
            </w:r>
          </w:p>
        </w:tc>
        <w:tc>
          <w:tcPr>
            <w:tcW w:w="919" w:type="dxa"/>
            <w:shd w:val="clear" w:color="auto" w:fill="auto"/>
          </w:tcPr>
          <w:p w:rsidR="00BC7C62" w:rsidRPr="0005701B" w:rsidRDefault="007B2703" w:rsidP="00E9401F">
            <w:pPr>
              <w:pStyle w:val="NoSpacing"/>
              <w:jc w:val="center"/>
              <w:rPr>
                <w:sz w:val="20"/>
                <w:szCs w:val="20"/>
              </w:rPr>
            </w:pPr>
            <w:r>
              <w:rPr>
                <w:sz w:val="20"/>
                <w:szCs w:val="20"/>
              </w:rPr>
              <w:t>11</w:t>
            </w:r>
          </w:p>
        </w:tc>
        <w:tc>
          <w:tcPr>
            <w:tcW w:w="686" w:type="dxa"/>
            <w:shd w:val="clear" w:color="auto" w:fill="auto"/>
          </w:tcPr>
          <w:p w:rsidR="00BC7C62" w:rsidRPr="0005701B" w:rsidRDefault="007B2703" w:rsidP="00E9401F">
            <w:pPr>
              <w:pStyle w:val="NoSpacing"/>
              <w:jc w:val="center"/>
              <w:rPr>
                <w:sz w:val="20"/>
                <w:szCs w:val="20"/>
              </w:rPr>
            </w:pPr>
            <w:r>
              <w:rPr>
                <w:sz w:val="20"/>
                <w:szCs w:val="20"/>
              </w:rPr>
              <w:t>16%</w:t>
            </w:r>
          </w:p>
        </w:tc>
        <w:tc>
          <w:tcPr>
            <w:tcW w:w="1051" w:type="dxa"/>
            <w:shd w:val="clear" w:color="auto" w:fill="auto"/>
          </w:tcPr>
          <w:p w:rsidR="00BC7C62" w:rsidRPr="0005701B" w:rsidRDefault="007B2703" w:rsidP="00E9401F">
            <w:pPr>
              <w:pStyle w:val="NoSpacing"/>
              <w:jc w:val="center"/>
              <w:rPr>
                <w:sz w:val="20"/>
                <w:szCs w:val="20"/>
              </w:rPr>
            </w:pPr>
            <w:r>
              <w:rPr>
                <w:sz w:val="20"/>
                <w:szCs w:val="20"/>
              </w:rPr>
              <w:t>24</w:t>
            </w:r>
          </w:p>
        </w:tc>
        <w:tc>
          <w:tcPr>
            <w:tcW w:w="750" w:type="dxa"/>
            <w:shd w:val="clear" w:color="auto" w:fill="auto"/>
          </w:tcPr>
          <w:p w:rsidR="00BC7C62" w:rsidRPr="0005701B" w:rsidRDefault="007B2703" w:rsidP="00E9401F">
            <w:pPr>
              <w:pStyle w:val="NoSpacing"/>
              <w:jc w:val="center"/>
              <w:rPr>
                <w:sz w:val="20"/>
                <w:szCs w:val="20"/>
              </w:rPr>
            </w:pPr>
            <w:r>
              <w:rPr>
                <w:sz w:val="20"/>
                <w:szCs w:val="20"/>
              </w:rPr>
              <w:t>34%</w:t>
            </w:r>
          </w:p>
        </w:tc>
      </w:tr>
      <w:tr w:rsidR="00BC7C62" w:rsidRPr="0005701B" w:rsidTr="00D71344">
        <w:trPr>
          <w:trHeight w:val="175"/>
          <w:jc w:val="center"/>
        </w:trPr>
        <w:tc>
          <w:tcPr>
            <w:tcW w:w="4258" w:type="dxa"/>
            <w:shd w:val="clear" w:color="auto" w:fill="auto"/>
          </w:tcPr>
          <w:p w:rsidR="00BC7C62" w:rsidRDefault="00BC7C62" w:rsidP="00E9401F">
            <w:pPr>
              <w:pStyle w:val="NoSpacing"/>
            </w:pPr>
            <w:r>
              <w:t>CTC represents all constituency groups when recommending facility needs and improvements.</w:t>
            </w:r>
          </w:p>
        </w:tc>
        <w:tc>
          <w:tcPr>
            <w:tcW w:w="834" w:type="dxa"/>
            <w:shd w:val="clear" w:color="auto" w:fill="auto"/>
          </w:tcPr>
          <w:p w:rsidR="00BC7C62" w:rsidRPr="0005701B" w:rsidRDefault="007B2703" w:rsidP="00E9401F">
            <w:pPr>
              <w:pStyle w:val="NoSpacing"/>
              <w:jc w:val="center"/>
              <w:rPr>
                <w:sz w:val="20"/>
                <w:szCs w:val="20"/>
              </w:rPr>
            </w:pPr>
            <w:r>
              <w:rPr>
                <w:sz w:val="20"/>
                <w:szCs w:val="20"/>
              </w:rPr>
              <w:t>21</w:t>
            </w:r>
          </w:p>
        </w:tc>
        <w:tc>
          <w:tcPr>
            <w:tcW w:w="907" w:type="dxa"/>
            <w:shd w:val="clear" w:color="auto" w:fill="auto"/>
          </w:tcPr>
          <w:p w:rsidR="00BC7C62" w:rsidRPr="0005701B" w:rsidRDefault="007B2703" w:rsidP="00E9401F">
            <w:pPr>
              <w:pStyle w:val="NoSpacing"/>
              <w:jc w:val="center"/>
              <w:rPr>
                <w:sz w:val="20"/>
                <w:szCs w:val="20"/>
              </w:rPr>
            </w:pPr>
            <w:r>
              <w:rPr>
                <w:sz w:val="20"/>
                <w:szCs w:val="20"/>
              </w:rPr>
              <w:t>30%</w:t>
            </w:r>
          </w:p>
        </w:tc>
        <w:tc>
          <w:tcPr>
            <w:tcW w:w="1505" w:type="dxa"/>
            <w:shd w:val="clear" w:color="auto" w:fill="auto"/>
          </w:tcPr>
          <w:p w:rsidR="00BC7C62" w:rsidRPr="0005701B" w:rsidRDefault="007B2703" w:rsidP="00E9401F">
            <w:pPr>
              <w:pStyle w:val="NoSpacing"/>
              <w:jc w:val="center"/>
              <w:rPr>
                <w:sz w:val="20"/>
                <w:szCs w:val="20"/>
              </w:rPr>
            </w:pPr>
            <w:r>
              <w:rPr>
                <w:sz w:val="20"/>
                <w:szCs w:val="20"/>
              </w:rPr>
              <w:t>12</w:t>
            </w:r>
          </w:p>
        </w:tc>
        <w:tc>
          <w:tcPr>
            <w:tcW w:w="818" w:type="dxa"/>
            <w:shd w:val="clear" w:color="auto" w:fill="auto"/>
          </w:tcPr>
          <w:p w:rsidR="00BC7C62" w:rsidRPr="0005701B" w:rsidRDefault="007B2703" w:rsidP="00E9401F">
            <w:pPr>
              <w:pStyle w:val="NoSpacing"/>
              <w:jc w:val="center"/>
              <w:rPr>
                <w:sz w:val="20"/>
                <w:szCs w:val="20"/>
              </w:rPr>
            </w:pPr>
            <w:r>
              <w:rPr>
                <w:sz w:val="20"/>
                <w:szCs w:val="20"/>
              </w:rPr>
              <w:t>17%</w:t>
            </w:r>
          </w:p>
        </w:tc>
        <w:tc>
          <w:tcPr>
            <w:tcW w:w="919" w:type="dxa"/>
            <w:shd w:val="clear" w:color="auto" w:fill="auto"/>
          </w:tcPr>
          <w:p w:rsidR="00BC7C62" w:rsidRPr="0005701B" w:rsidRDefault="007B2703" w:rsidP="00E9401F">
            <w:pPr>
              <w:pStyle w:val="NoSpacing"/>
              <w:jc w:val="center"/>
              <w:rPr>
                <w:sz w:val="20"/>
                <w:szCs w:val="20"/>
              </w:rPr>
            </w:pPr>
            <w:r>
              <w:rPr>
                <w:sz w:val="20"/>
                <w:szCs w:val="20"/>
              </w:rPr>
              <w:t>9</w:t>
            </w:r>
          </w:p>
        </w:tc>
        <w:tc>
          <w:tcPr>
            <w:tcW w:w="686" w:type="dxa"/>
            <w:shd w:val="clear" w:color="auto" w:fill="auto"/>
          </w:tcPr>
          <w:p w:rsidR="00BC7C62" w:rsidRPr="0005701B" w:rsidRDefault="007B2703" w:rsidP="00E9401F">
            <w:pPr>
              <w:pStyle w:val="NoSpacing"/>
              <w:jc w:val="center"/>
              <w:rPr>
                <w:sz w:val="20"/>
                <w:szCs w:val="20"/>
              </w:rPr>
            </w:pPr>
            <w:r>
              <w:rPr>
                <w:sz w:val="20"/>
                <w:szCs w:val="20"/>
              </w:rPr>
              <w:t>13%</w:t>
            </w:r>
          </w:p>
        </w:tc>
        <w:tc>
          <w:tcPr>
            <w:tcW w:w="1051" w:type="dxa"/>
            <w:shd w:val="clear" w:color="auto" w:fill="auto"/>
          </w:tcPr>
          <w:p w:rsidR="00BC7C62" w:rsidRPr="0005701B" w:rsidRDefault="007B2703" w:rsidP="00E9401F">
            <w:pPr>
              <w:pStyle w:val="NoSpacing"/>
              <w:jc w:val="center"/>
              <w:rPr>
                <w:sz w:val="20"/>
                <w:szCs w:val="20"/>
              </w:rPr>
            </w:pPr>
            <w:r>
              <w:rPr>
                <w:sz w:val="20"/>
                <w:szCs w:val="20"/>
              </w:rPr>
              <w:t>27</w:t>
            </w:r>
          </w:p>
        </w:tc>
        <w:tc>
          <w:tcPr>
            <w:tcW w:w="750" w:type="dxa"/>
            <w:shd w:val="clear" w:color="auto" w:fill="auto"/>
          </w:tcPr>
          <w:p w:rsidR="00BC7C62" w:rsidRPr="0005701B" w:rsidRDefault="007B2703" w:rsidP="00E9401F">
            <w:pPr>
              <w:pStyle w:val="NoSpacing"/>
              <w:jc w:val="center"/>
              <w:rPr>
                <w:sz w:val="20"/>
                <w:szCs w:val="20"/>
              </w:rPr>
            </w:pPr>
            <w:r>
              <w:rPr>
                <w:sz w:val="20"/>
                <w:szCs w:val="20"/>
              </w:rPr>
              <w:t>39%</w:t>
            </w:r>
          </w:p>
        </w:tc>
      </w:tr>
    </w:tbl>
    <w:p w:rsidR="00BC7C62" w:rsidRDefault="00BC7C62" w:rsidP="00BC7C62"/>
    <w:p w:rsidR="00FE03A1" w:rsidRDefault="00FE03A1" w:rsidP="00BC7C62"/>
    <w:p w:rsidR="00BA2048" w:rsidRPr="00FE03A1" w:rsidRDefault="00BA2048" w:rsidP="00FE03A1"/>
    <w:sectPr w:rsidR="00BA2048" w:rsidRPr="00FE03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E86" w:rsidRDefault="00BB7E86" w:rsidP="00262FCB">
      <w:pPr>
        <w:spacing w:after="0" w:line="240" w:lineRule="auto"/>
      </w:pPr>
      <w:r>
        <w:separator/>
      </w:r>
    </w:p>
  </w:endnote>
  <w:endnote w:type="continuationSeparator" w:id="0">
    <w:p w:rsidR="00BB7E86" w:rsidRDefault="00BB7E86" w:rsidP="0026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441103"/>
      <w:docPartObj>
        <w:docPartGallery w:val="Page Numbers (Bottom of Page)"/>
        <w:docPartUnique/>
      </w:docPartObj>
    </w:sdtPr>
    <w:sdtEndPr>
      <w:rPr>
        <w:color w:val="808080" w:themeColor="background1" w:themeShade="80"/>
        <w:spacing w:val="60"/>
      </w:rPr>
    </w:sdtEndPr>
    <w:sdtContent>
      <w:p w:rsidR="00E9401F" w:rsidRDefault="00686288" w:rsidP="00686288">
        <w:pPr>
          <w:pStyle w:val="Footer"/>
          <w:pBdr>
            <w:top w:val="single" w:sz="4" w:space="1" w:color="D9D9D9" w:themeColor="background1" w:themeShade="D9"/>
          </w:pBdr>
        </w:pPr>
        <w:r>
          <w:t xml:space="preserve"> 5/1/2016 </w:t>
        </w:r>
        <w:r>
          <w:tab/>
        </w:r>
        <w:r>
          <w:tab/>
        </w:r>
        <w:r w:rsidR="00E9401F">
          <w:fldChar w:fldCharType="begin"/>
        </w:r>
        <w:r w:rsidR="00E9401F">
          <w:instrText xml:space="preserve"> PAGE   \* MERGEFORMAT </w:instrText>
        </w:r>
        <w:r w:rsidR="00E9401F">
          <w:fldChar w:fldCharType="separate"/>
        </w:r>
        <w:r w:rsidR="00D71344">
          <w:rPr>
            <w:noProof/>
          </w:rPr>
          <w:t>8</w:t>
        </w:r>
        <w:r w:rsidR="00E9401F">
          <w:rPr>
            <w:noProof/>
          </w:rPr>
          <w:fldChar w:fldCharType="end"/>
        </w:r>
        <w:r w:rsidR="00E9401F">
          <w:t xml:space="preserve"> | </w:t>
        </w:r>
        <w:r w:rsidR="00E9401F">
          <w:rPr>
            <w:color w:val="808080" w:themeColor="background1" w:themeShade="80"/>
            <w:spacing w:val="60"/>
          </w:rPr>
          <w:t>Page</w:t>
        </w:r>
      </w:p>
    </w:sdtContent>
  </w:sdt>
  <w:p w:rsidR="00E9401F" w:rsidRDefault="00E94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E86" w:rsidRDefault="00BB7E86" w:rsidP="00262FCB">
      <w:pPr>
        <w:spacing w:after="0" w:line="240" w:lineRule="auto"/>
      </w:pPr>
      <w:r>
        <w:separator/>
      </w:r>
    </w:p>
  </w:footnote>
  <w:footnote w:type="continuationSeparator" w:id="0">
    <w:p w:rsidR="00BB7E86" w:rsidRDefault="00BB7E86" w:rsidP="00262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01F" w:rsidRDefault="00E94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2CB"/>
    <w:multiLevelType w:val="hybridMultilevel"/>
    <w:tmpl w:val="DE16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94808"/>
    <w:multiLevelType w:val="hybridMultilevel"/>
    <w:tmpl w:val="3184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966CC"/>
    <w:multiLevelType w:val="hybridMultilevel"/>
    <w:tmpl w:val="BCBE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D17BF"/>
    <w:multiLevelType w:val="hybridMultilevel"/>
    <w:tmpl w:val="3C78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0374F"/>
    <w:multiLevelType w:val="hybridMultilevel"/>
    <w:tmpl w:val="D9F4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11044"/>
    <w:multiLevelType w:val="hybridMultilevel"/>
    <w:tmpl w:val="940E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516F1"/>
    <w:multiLevelType w:val="hybridMultilevel"/>
    <w:tmpl w:val="53D4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B6074F"/>
    <w:multiLevelType w:val="hybridMultilevel"/>
    <w:tmpl w:val="335EFB1E"/>
    <w:lvl w:ilvl="0" w:tplc="04090001">
      <w:start w:val="1"/>
      <w:numFmt w:val="bullet"/>
      <w:lvlText w:val=""/>
      <w:lvlJc w:val="left"/>
      <w:pPr>
        <w:ind w:left="4367" w:hanging="360"/>
      </w:pPr>
      <w:rPr>
        <w:rFonts w:ascii="Symbol" w:hAnsi="Symbol" w:hint="default"/>
      </w:rPr>
    </w:lvl>
    <w:lvl w:ilvl="1" w:tplc="04090003" w:tentative="1">
      <w:start w:val="1"/>
      <w:numFmt w:val="bullet"/>
      <w:lvlText w:val="o"/>
      <w:lvlJc w:val="left"/>
      <w:pPr>
        <w:ind w:left="5087" w:hanging="360"/>
      </w:pPr>
      <w:rPr>
        <w:rFonts w:ascii="Courier New" w:hAnsi="Courier New" w:cs="Courier New" w:hint="default"/>
      </w:rPr>
    </w:lvl>
    <w:lvl w:ilvl="2" w:tplc="04090005" w:tentative="1">
      <w:start w:val="1"/>
      <w:numFmt w:val="bullet"/>
      <w:lvlText w:val=""/>
      <w:lvlJc w:val="left"/>
      <w:pPr>
        <w:ind w:left="5807" w:hanging="360"/>
      </w:pPr>
      <w:rPr>
        <w:rFonts w:ascii="Wingdings" w:hAnsi="Wingdings" w:hint="default"/>
      </w:rPr>
    </w:lvl>
    <w:lvl w:ilvl="3" w:tplc="04090001" w:tentative="1">
      <w:start w:val="1"/>
      <w:numFmt w:val="bullet"/>
      <w:lvlText w:val=""/>
      <w:lvlJc w:val="left"/>
      <w:pPr>
        <w:ind w:left="6527" w:hanging="360"/>
      </w:pPr>
      <w:rPr>
        <w:rFonts w:ascii="Symbol" w:hAnsi="Symbol" w:hint="default"/>
      </w:rPr>
    </w:lvl>
    <w:lvl w:ilvl="4" w:tplc="04090003" w:tentative="1">
      <w:start w:val="1"/>
      <w:numFmt w:val="bullet"/>
      <w:lvlText w:val="o"/>
      <w:lvlJc w:val="left"/>
      <w:pPr>
        <w:ind w:left="7247" w:hanging="360"/>
      </w:pPr>
      <w:rPr>
        <w:rFonts w:ascii="Courier New" w:hAnsi="Courier New" w:cs="Courier New" w:hint="default"/>
      </w:rPr>
    </w:lvl>
    <w:lvl w:ilvl="5" w:tplc="04090005" w:tentative="1">
      <w:start w:val="1"/>
      <w:numFmt w:val="bullet"/>
      <w:lvlText w:val=""/>
      <w:lvlJc w:val="left"/>
      <w:pPr>
        <w:ind w:left="7967" w:hanging="360"/>
      </w:pPr>
      <w:rPr>
        <w:rFonts w:ascii="Wingdings" w:hAnsi="Wingdings" w:hint="default"/>
      </w:rPr>
    </w:lvl>
    <w:lvl w:ilvl="6" w:tplc="04090001" w:tentative="1">
      <w:start w:val="1"/>
      <w:numFmt w:val="bullet"/>
      <w:lvlText w:val=""/>
      <w:lvlJc w:val="left"/>
      <w:pPr>
        <w:ind w:left="8687" w:hanging="360"/>
      </w:pPr>
      <w:rPr>
        <w:rFonts w:ascii="Symbol" w:hAnsi="Symbol" w:hint="default"/>
      </w:rPr>
    </w:lvl>
    <w:lvl w:ilvl="7" w:tplc="04090003" w:tentative="1">
      <w:start w:val="1"/>
      <w:numFmt w:val="bullet"/>
      <w:lvlText w:val="o"/>
      <w:lvlJc w:val="left"/>
      <w:pPr>
        <w:ind w:left="9407" w:hanging="360"/>
      </w:pPr>
      <w:rPr>
        <w:rFonts w:ascii="Courier New" w:hAnsi="Courier New" w:cs="Courier New" w:hint="default"/>
      </w:rPr>
    </w:lvl>
    <w:lvl w:ilvl="8" w:tplc="04090005" w:tentative="1">
      <w:start w:val="1"/>
      <w:numFmt w:val="bullet"/>
      <w:lvlText w:val=""/>
      <w:lvlJc w:val="left"/>
      <w:pPr>
        <w:ind w:left="10127" w:hanging="360"/>
      </w:pPr>
      <w:rPr>
        <w:rFonts w:ascii="Wingdings" w:hAnsi="Wingdings" w:hint="default"/>
      </w:rPr>
    </w:lvl>
  </w:abstractNum>
  <w:abstractNum w:abstractNumId="8">
    <w:nsid w:val="719F2A8F"/>
    <w:multiLevelType w:val="hybridMultilevel"/>
    <w:tmpl w:val="B520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F619BA"/>
    <w:multiLevelType w:val="hybridMultilevel"/>
    <w:tmpl w:val="7092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6"/>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987"/>
    <w:rsid w:val="00044A51"/>
    <w:rsid w:val="000D54A5"/>
    <w:rsid w:val="00146987"/>
    <w:rsid w:val="0014785D"/>
    <w:rsid w:val="001801E6"/>
    <w:rsid w:val="001C5B8F"/>
    <w:rsid w:val="00211942"/>
    <w:rsid w:val="00221930"/>
    <w:rsid w:val="00262FCB"/>
    <w:rsid w:val="00373D7A"/>
    <w:rsid w:val="00405FEC"/>
    <w:rsid w:val="004C6E85"/>
    <w:rsid w:val="004E4272"/>
    <w:rsid w:val="004F6003"/>
    <w:rsid w:val="00516555"/>
    <w:rsid w:val="00531416"/>
    <w:rsid w:val="005577E8"/>
    <w:rsid w:val="00686288"/>
    <w:rsid w:val="007B2703"/>
    <w:rsid w:val="008A40E1"/>
    <w:rsid w:val="00A07411"/>
    <w:rsid w:val="00AB3669"/>
    <w:rsid w:val="00B12BBB"/>
    <w:rsid w:val="00B827DB"/>
    <w:rsid w:val="00BA2048"/>
    <w:rsid w:val="00BB7E86"/>
    <w:rsid w:val="00BC7C62"/>
    <w:rsid w:val="00D71344"/>
    <w:rsid w:val="00E7406F"/>
    <w:rsid w:val="00E82CAC"/>
    <w:rsid w:val="00E9401F"/>
    <w:rsid w:val="00EB0695"/>
    <w:rsid w:val="00ED1083"/>
    <w:rsid w:val="00F31E29"/>
    <w:rsid w:val="00FE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4A51"/>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ED1083"/>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ED1083"/>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unhideWhenUsed/>
    <w:qFormat/>
    <w:rsid w:val="00262FCB"/>
    <w:pPr>
      <w:keepNext/>
      <w:keepLines/>
      <w:spacing w:before="200" w:after="0"/>
      <w:outlineLvl w:val="3"/>
    </w:pPr>
    <w:rPr>
      <w:rFonts w:asciiTheme="majorHAnsi" w:eastAsiaTheme="majorEastAsia" w:hAnsiTheme="majorHAnsi" w:cstheme="majorBidi"/>
      <w:b/>
      <w:bCs/>
      <w:i/>
      <w:iCs/>
      <w:color w:val="5354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87"/>
    <w:pPr>
      <w:ind w:left="720"/>
      <w:contextualSpacing/>
    </w:pPr>
  </w:style>
  <w:style w:type="character" w:customStyle="1" w:styleId="Heading1Char">
    <w:name w:val="Heading 1 Char"/>
    <w:basedOn w:val="DefaultParagraphFont"/>
    <w:link w:val="Heading1"/>
    <w:uiPriority w:val="9"/>
    <w:rsid w:val="00044A51"/>
    <w:rPr>
      <w:rFonts w:asciiTheme="majorHAnsi" w:eastAsiaTheme="majorEastAsia" w:hAnsiTheme="majorHAnsi" w:cstheme="majorBidi"/>
      <w:b/>
      <w:bCs/>
      <w:color w:val="3E3E67" w:themeColor="accent1" w:themeShade="BF"/>
      <w:sz w:val="28"/>
      <w:szCs w:val="28"/>
    </w:rPr>
  </w:style>
  <w:style w:type="character" w:customStyle="1" w:styleId="Heading2Char">
    <w:name w:val="Heading 2 Char"/>
    <w:basedOn w:val="DefaultParagraphFont"/>
    <w:link w:val="Heading2"/>
    <w:uiPriority w:val="9"/>
    <w:rsid w:val="00ED1083"/>
    <w:rPr>
      <w:rFonts w:asciiTheme="majorHAnsi" w:eastAsiaTheme="majorEastAsia" w:hAnsiTheme="majorHAnsi" w:cstheme="majorBidi"/>
      <w:b/>
      <w:bCs/>
      <w:color w:val="53548A" w:themeColor="accent1"/>
      <w:sz w:val="26"/>
      <w:szCs w:val="26"/>
    </w:rPr>
  </w:style>
  <w:style w:type="character" w:customStyle="1" w:styleId="Heading3Char">
    <w:name w:val="Heading 3 Char"/>
    <w:basedOn w:val="DefaultParagraphFont"/>
    <w:link w:val="Heading3"/>
    <w:uiPriority w:val="9"/>
    <w:rsid w:val="00ED1083"/>
    <w:rPr>
      <w:rFonts w:asciiTheme="majorHAnsi" w:eastAsiaTheme="majorEastAsia" w:hAnsiTheme="majorHAnsi" w:cstheme="majorBidi"/>
      <w:b/>
      <w:bCs/>
      <w:color w:val="53548A" w:themeColor="accent1"/>
    </w:rPr>
  </w:style>
  <w:style w:type="paragraph" w:styleId="Title">
    <w:name w:val="Title"/>
    <w:basedOn w:val="Normal"/>
    <w:next w:val="Normal"/>
    <w:link w:val="TitleChar"/>
    <w:uiPriority w:val="10"/>
    <w:qFormat/>
    <w:rsid w:val="00262FCB"/>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262FCB"/>
    <w:rPr>
      <w:rFonts w:asciiTheme="majorHAnsi" w:eastAsiaTheme="majorEastAsia" w:hAnsiTheme="majorHAnsi" w:cstheme="majorBidi"/>
      <w:color w:val="313240" w:themeColor="text2" w:themeShade="BF"/>
      <w:spacing w:val="5"/>
      <w:kern w:val="28"/>
      <w:sz w:val="52"/>
      <w:szCs w:val="52"/>
    </w:rPr>
  </w:style>
  <w:style w:type="character" w:customStyle="1" w:styleId="Heading4Char">
    <w:name w:val="Heading 4 Char"/>
    <w:basedOn w:val="DefaultParagraphFont"/>
    <w:link w:val="Heading4"/>
    <w:uiPriority w:val="9"/>
    <w:rsid w:val="00262FCB"/>
    <w:rPr>
      <w:rFonts w:asciiTheme="majorHAnsi" w:eastAsiaTheme="majorEastAsia" w:hAnsiTheme="majorHAnsi" w:cstheme="majorBidi"/>
      <w:b/>
      <w:bCs/>
      <w:i/>
      <w:iCs/>
      <w:color w:val="53548A" w:themeColor="accent1"/>
    </w:rPr>
  </w:style>
  <w:style w:type="paragraph" w:styleId="NoSpacing">
    <w:name w:val="No Spacing"/>
    <w:uiPriority w:val="1"/>
    <w:qFormat/>
    <w:rsid w:val="00262FCB"/>
    <w:pPr>
      <w:spacing w:after="0" w:line="240" w:lineRule="auto"/>
    </w:pPr>
  </w:style>
  <w:style w:type="paragraph" w:styleId="Header">
    <w:name w:val="header"/>
    <w:basedOn w:val="Normal"/>
    <w:link w:val="HeaderChar"/>
    <w:uiPriority w:val="99"/>
    <w:unhideWhenUsed/>
    <w:rsid w:val="00262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CB"/>
  </w:style>
  <w:style w:type="paragraph" w:styleId="Footer">
    <w:name w:val="footer"/>
    <w:basedOn w:val="Normal"/>
    <w:link w:val="FooterChar"/>
    <w:uiPriority w:val="99"/>
    <w:unhideWhenUsed/>
    <w:rsid w:val="00262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CB"/>
  </w:style>
  <w:style w:type="paragraph" w:styleId="IntenseQuote">
    <w:name w:val="Intense Quote"/>
    <w:basedOn w:val="Normal"/>
    <w:next w:val="Normal"/>
    <w:link w:val="IntenseQuoteChar"/>
    <w:uiPriority w:val="30"/>
    <w:qFormat/>
    <w:rsid w:val="00405FEC"/>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405FEC"/>
    <w:rPr>
      <w:b/>
      <w:bCs/>
      <w:i/>
      <w:iCs/>
      <w:color w:val="53548A" w:themeColor="accent1"/>
    </w:rPr>
  </w:style>
  <w:style w:type="paragraph" w:styleId="Subtitle">
    <w:name w:val="Subtitle"/>
    <w:basedOn w:val="Normal"/>
    <w:next w:val="Normal"/>
    <w:link w:val="SubtitleChar"/>
    <w:uiPriority w:val="11"/>
    <w:qFormat/>
    <w:rsid w:val="00405FEC"/>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405FEC"/>
    <w:rPr>
      <w:rFonts w:asciiTheme="majorHAnsi" w:eastAsiaTheme="majorEastAsia" w:hAnsiTheme="majorHAnsi" w:cstheme="majorBidi"/>
      <w:i/>
      <w:iCs/>
      <w:color w:val="53548A" w:themeColor="accent1"/>
      <w:spacing w:val="15"/>
      <w:sz w:val="24"/>
      <w:szCs w:val="24"/>
    </w:rPr>
  </w:style>
  <w:style w:type="table" w:styleId="LightShading-Accent6">
    <w:name w:val="Light Shading Accent 6"/>
    <w:basedOn w:val="TableNormal"/>
    <w:uiPriority w:val="60"/>
    <w:rsid w:val="00FE03A1"/>
    <w:pPr>
      <w:spacing w:after="0" w:line="240" w:lineRule="auto"/>
    </w:pPr>
    <w:rPr>
      <w:color w:val="406E8C" w:themeColor="accent6" w:themeShade="BF"/>
    </w:rPr>
    <w:tblPr>
      <w:tblStyleRowBandSize w:val="1"/>
      <w:tblStyleColBandSize w:val="1"/>
      <w:tblBorders>
        <w:top w:val="single" w:sz="8" w:space="0" w:color="5C92B5" w:themeColor="accent6"/>
        <w:bottom w:val="single" w:sz="8" w:space="0" w:color="5C92B5" w:themeColor="accent6"/>
      </w:tblBorders>
    </w:tblPr>
    <w:tblStylePr w:type="firstRow">
      <w:pPr>
        <w:spacing w:before="0" w:after="0" w:line="240" w:lineRule="auto"/>
      </w:pPr>
      <w:rPr>
        <w:b/>
        <w:bCs/>
      </w:rPr>
      <w:tblPr/>
      <w:tcPr>
        <w:tcBorders>
          <w:top w:val="single" w:sz="8" w:space="0" w:color="5C92B5" w:themeColor="accent6"/>
          <w:left w:val="nil"/>
          <w:bottom w:val="single" w:sz="8" w:space="0" w:color="5C92B5" w:themeColor="accent6"/>
          <w:right w:val="nil"/>
          <w:insideH w:val="nil"/>
          <w:insideV w:val="nil"/>
        </w:tcBorders>
      </w:tcPr>
    </w:tblStylePr>
    <w:tblStylePr w:type="lastRow">
      <w:pPr>
        <w:spacing w:before="0" w:after="0" w:line="240" w:lineRule="auto"/>
      </w:pPr>
      <w:rPr>
        <w:b/>
        <w:bCs/>
      </w:rPr>
      <w:tblPr/>
      <w:tcPr>
        <w:tcBorders>
          <w:top w:val="single" w:sz="8" w:space="0" w:color="5C92B5" w:themeColor="accent6"/>
          <w:left w:val="nil"/>
          <w:bottom w:val="single" w:sz="8" w:space="0" w:color="5C92B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3EC" w:themeFill="accent6" w:themeFillTint="3F"/>
      </w:tcPr>
    </w:tblStylePr>
    <w:tblStylePr w:type="band1Horz">
      <w:tblPr/>
      <w:tcPr>
        <w:tcBorders>
          <w:left w:val="nil"/>
          <w:right w:val="nil"/>
          <w:insideH w:val="nil"/>
          <w:insideV w:val="nil"/>
        </w:tcBorders>
        <w:shd w:val="clear" w:color="auto" w:fill="D6E3EC" w:themeFill="accent6" w:themeFillTint="3F"/>
      </w:tcPr>
    </w:tblStylePr>
  </w:style>
  <w:style w:type="table" w:styleId="LightGrid-Accent6">
    <w:name w:val="Light Grid Accent 6"/>
    <w:basedOn w:val="TableNormal"/>
    <w:uiPriority w:val="62"/>
    <w:rsid w:val="00FE03A1"/>
    <w:pPr>
      <w:spacing w:after="0" w:line="240" w:lineRule="auto"/>
    </w:pPr>
    <w:tblPr>
      <w:tblStyleRowBandSize w:val="1"/>
      <w:tblStyleColBandSize w:val="1"/>
      <w:tblBorders>
        <w:top w:val="single" w:sz="8" w:space="0" w:color="5C92B5" w:themeColor="accent6"/>
        <w:left w:val="single" w:sz="8" w:space="0" w:color="5C92B5" w:themeColor="accent6"/>
        <w:bottom w:val="single" w:sz="8" w:space="0" w:color="5C92B5" w:themeColor="accent6"/>
        <w:right w:val="single" w:sz="8" w:space="0" w:color="5C92B5" w:themeColor="accent6"/>
        <w:insideH w:val="single" w:sz="8" w:space="0" w:color="5C92B5" w:themeColor="accent6"/>
        <w:insideV w:val="single" w:sz="8" w:space="0" w:color="5C92B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18" w:space="0" w:color="5C92B5" w:themeColor="accent6"/>
          <w:right w:val="single" w:sz="8" w:space="0" w:color="5C92B5" w:themeColor="accent6"/>
          <w:insideH w:val="nil"/>
          <w:insideV w:val="single" w:sz="8" w:space="0" w:color="5C92B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insideH w:val="nil"/>
          <w:insideV w:val="single" w:sz="8" w:space="0" w:color="5C92B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shd w:val="clear" w:color="auto" w:fill="D6E3EC" w:themeFill="accent6" w:themeFillTint="3F"/>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shd w:val="clear" w:color="auto" w:fill="D6E3EC" w:themeFill="accent6" w:themeFillTint="3F"/>
      </w:tcPr>
    </w:tblStylePr>
    <w:tblStylePr w:type="band2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4A51"/>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ED1083"/>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ED1083"/>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unhideWhenUsed/>
    <w:qFormat/>
    <w:rsid w:val="00262FCB"/>
    <w:pPr>
      <w:keepNext/>
      <w:keepLines/>
      <w:spacing w:before="200" w:after="0"/>
      <w:outlineLvl w:val="3"/>
    </w:pPr>
    <w:rPr>
      <w:rFonts w:asciiTheme="majorHAnsi" w:eastAsiaTheme="majorEastAsia" w:hAnsiTheme="majorHAnsi" w:cstheme="majorBidi"/>
      <w:b/>
      <w:bCs/>
      <w:i/>
      <w:iCs/>
      <w:color w:val="5354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87"/>
    <w:pPr>
      <w:ind w:left="720"/>
      <w:contextualSpacing/>
    </w:pPr>
  </w:style>
  <w:style w:type="character" w:customStyle="1" w:styleId="Heading1Char">
    <w:name w:val="Heading 1 Char"/>
    <w:basedOn w:val="DefaultParagraphFont"/>
    <w:link w:val="Heading1"/>
    <w:uiPriority w:val="9"/>
    <w:rsid w:val="00044A51"/>
    <w:rPr>
      <w:rFonts w:asciiTheme="majorHAnsi" w:eastAsiaTheme="majorEastAsia" w:hAnsiTheme="majorHAnsi" w:cstheme="majorBidi"/>
      <w:b/>
      <w:bCs/>
      <w:color w:val="3E3E67" w:themeColor="accent1" w:themeShade="BF"/>
      <w:sz w:val="28"/>
      <w:szCs w:val="28"/>
    </w:rPr>
  </w:style>
  <w:style w:type="character" w:customStyle="1" w:styleId="Heading2Char">
    <w:name w:val="Heading 2 Char"/>
    <w:basedOn w:val="DefaultParagraphFont"/>
    <w:link w:val="Heading2"/>
    <w:uiPriority w:val="9"/>
    <w:rsid w:val="00ED1083"/>
    <w:rPr>
      <w:rFonts w:asciiTheme="majorHAnsi" w:eastAsiaTheme="majorEastAsia" w:hAnsiTheme="majorHAnsi" w:cstheme="majorBidi"/>
      <w:b/>
      <w:bCs/>
      <w:color w:val="53548A" w:themeColor="accent1"/>
      <w:sz w:val="26"/>
      <w:szCs w:val="26"/>
    </w:rPr>
  </w:style>
  <w:style w:type="character" w:customStyle="1" w:styleId="Heading3Char">
    <w:name w:val="Heading 3 Char"/>
    <w:basedOn w:val="DefaultParagraphFont"/>
    <w:link w:val="Heading3"/>
    <w:uiPriority w:val="9"/>
    <w:rsid w:val="00ED1083"/>
    <w:rPr>
      <w:rFonts w:asciiTheme="majorHAnsi" w:eastAsiaTheme="majorEastAsia" w:hAnsiTheme="majorHAnsi" w:cstheme="majorBidi"/>
      <w:b/>
      <w:bCs/>
      <w:color w:val="53548A" w:themeColor="accent1"/>
    </w:rPr>
  </w:style>
  <w:style w:type="paragraph" w:styleId="Title">
    <w:name w:val="Title"/>
    <w:basedOn w:val="Normal"/>
    <w:next w:val="Normal"/>
    <w:link w:val="TitleChar"/>
    <w:uiPriority w:val="10"/>
    <w:qFormat/>
    <w:rsid w:val="00262FCB"/>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262FCB"/>
    <w:rPr>
      <w:rFonts w:asciiTheme="majorHAnsi" w:eastAsiaTheme="majorEastAsia" w:hAnsiTheme="majorHAnsi" w:cstheme="majorBidi"/>
      <w:color w:val="313240" w:themeColor="text2" w:themeShade="BF"/>
      <w:spacing w:val="5"/>
      <w:kern w:val="28"/>
      <w:sz w:val="52"/>
      <w:szCs w:val="52"/>
    </w:rPr>
  </w:style>
  <w:style w:type="character" w:customStyle="1" w:styleId="Heading4Char">
    <w:name w:val="Heading 4 Char"/>
    <w:basedOn w:val="DefaultParagraphFont"/>
    <w:link w:val="Heading4"/>
    <w:uiPriority w:val="9"/>
    <w:rsid w:val="00262FCB"/>
    <w:rPr>
      <w:rFonts w:asciiTheme="majorHAnsi" w:eastAsiaTheme="majorEastAsia" w:hAnsiTheme="majorHAnsi" w:cstheme="majorBidi"/>
      <w:b/>
      <w:bCs/>
      <w:i/>
      <w:iCs/>
      <w:color w:val="53548A" w:themeColor="accent1"/>
    </w:rPr>
  </w:style>
  <w:style w:type="paragraph" w:styleId="NoSpacing">
    <w:name w:val="No Spacing"/>
    <w:uiPriority w:val="1"/>
    <w:qFormat/>
    <w:rsid w:val="00262FCB"/>
    <w:pPr>
      <w:spacing w:after="0" w:line="240" w:lineRule="auto"/>
    </w:pPr>
  </w:style>
  <w:style w:type="paragraph" w:styleId="Header">
    <w:name w:val="header"/>
    <w:basedOn w:val="Normal"/>
    <w:link w:val="HeaderChar"/>
    <w:uiPriority w:val="99"/>
    <w:unhideWhenUsed/>
    <w:rsid w:val="00262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CB"/>
  </w:style>
  <w:style w:type="paragraph" w:styleId="Footer">
    <w:name w:val="footer"/>
    <w:basedOn w:val="Normal"/>
    <w:link w:val="FooterChar"/>
    <w:uiPriority w:val="99"/>
    <w:unhideWhenUsed/>
    <w:rsid w:val="00262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CB"/>
  </w:style>
  <w:style w:type="paragraph" w:styleId="IntenseQuote">
    <w:name w:val="Intense Quote"/>
    <w:basedOn w:val="Normal"/>
    <w:next w:val="Normal"/>
    <w:link w:val="IntenseQuoteChar"/>
    <w:uiPriority w:val="30"/>
    <w:qFormat/>
    <w:rsid w:val="00405FEC"/>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405FEC"/>
    <w:rPr>
      <w:b/>
      <w:bCs/>
      <w:i/>
      <w:iCs/>
      <w:color w:val="53548A" w:themeColor="accent1"/>
    </w:rPr>
  </w:style>
  <w:style w:type="paragraph" w:styleId="Subtitle">
    <w:name w:val="Subtitle"/>
    <w:basedOn w:val="Normal"/>
    <w:next w:val="Normal"/>
    <w:link w:val="SubtitleChar"/>
    <w:uiPriority w:val="11"/>
    <w:qFormat/>
    <w:rsid w:val="00405FEC"/>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405FEC"/>
    <w:rPr>
      <w:rFonts w:asciiTheme="majorHAnsi" w:eastAsiaTheme="majorEastAsia" w:hAnsiTheme="majorHAnsi" w:cstheme="majorBidi"/>
      <w:i/>
      <w:iCs/>
      <w:color w:val="53548A" w:themeColor="accent1"/>
      <w:spacing w:val="15"/>
      <w:sz w:val="24"/>
      <w:szCs w:val="24"/>
    </w:rPr>
  </w:style>
  <w:style w:type="table" w:styleId="LightShading-Accent6">
    <w:name w:val="Light Shading Accent 6"/>
    <w:basedOn w:val="TableNormal"/>
    <w:uiPriority w:val="60"/>
    <w:rsid w:val="00FE03A1"/>
    <w:pPr>
      <w:spacing w:after="0" w:line="240" w:lineRule="auto"/>
    </w:pPr>
    <w:rPr>
      <w:color w:val="406E8C" w:themeColor="accent6" w:themeShade="BF"/>
    </w:rPr>
    <w:tblPr>
      <w:tblStyleRowBandSize w:val="1"/>
      <w:tblStyleColBandSize w:val="1"/>
      <w:tblBorders>
        <w:top w:val="single" w:sz="8" w:space="0" w:color="5C92B5" w:themeColor="accent6"/>
        <w:bottom w:val="single" w:sz="8" w:space="0" w:color="5C92B5" w:themeColor="accent6"/>
      </w:tblBorders>
    </w:tblPr>
    <w:tblStylePr w:type="firstRow">
      <w:pPr>
        <w:spacing w:before="0" w:after="0" w:line="240" w:lineRule="auto"/>
      </w:pPr>
      <w:rPr>
        <w:b/>
        <w:bCs/>
      </w:rPr>
      <w:tblPr/>
      <w:tcPr>
        <w:tcBorders>
          <w:top w:val="single" w:sz="8" w:space="0" w:color="5C92B5" w:themeColor="accent6"/>
          <w:left w:val="nil"/>
          <w:bottom w:val="single" w:sz="8" w:space="0" w:color="5C92B5" w:themeColor="accent6"/>
          <w:right w:val="nil"/>
          <w:insideH w:val="nil"/>
          <w:insideV w:val="nil"/>
        </w:tcBorders>
      </w:tcPr>
    </w:tblStylePr>
    <w:tblStylePr w:type="lastRow">
      <w:pPr>
        <w:spacing w:before="0" w:after="0" w:line="240" w:lineRule="auto"/>
      </w:pPr>
      <w:rPr>
        <w:b/>
        <w:bCs/>
      </w:rPr>
      <w:tblPr/>
      <w:tcPr>
        <w:tcBorders>
          <w:top w:val="single" w:sz="8" w:space="0" w:color="5C92B5" w:themeColor="accent6"/>
          <w:left w:val="nil"/>
          <w:bottom w:val="single" w:sz="8" w:space="0" w:color="5C92B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3EC" w:themeFill="accent6" w:themeFillTint="3F"/>
      </w:tcPr>
    </w:tblStylePr>
    <w:tblStylePr w:type="band1Horz">
      <w:tblPr/>
      <w:tcPr>
        <w:tcBorders>
          <w:left w:val="nil"/>
          <w:right w:val="nil"/>
          <w:insideH w:val="nil"/>
          <w:insideV w:val="nil"/>
        </w:tcBorders>
        <w:shd w:val="clear" w:color="auto" w:fill="D6E3EC" w:themeFill="accent6" w:themeFillTint="3F"/>
      </w:tcPr>
    </w:tblStylePr>
  </w:style>
  <w:style w:type="table" w:styleId="LightGrid-Accent6">
    <w:name w:val="Light Grid Accent 6"/>
    <w:basedOn w:val="TableNormal"/>
    <w:uiPriority w:val="62"/>
    <w:rsid w:val="00FE03A1"/>
    <w:pPr>
      <w:spacing w:after="0" w:line="240" w:lineRule="auto"/>
    </w:pPr>
    <w:tblPr>
      <w:tblStyleRowBandSize w:val="1"/>
      <w:tblStyleColBandSize w:val="1"/>
      <w:tblBorders>
        <w:top w:val="single" w:sz="8" w:space="0" w:color="5C92B5" w:themeColor="accent6"/>
        <w:left w:val="single" w:sz="8" w:space="0" w:color="5C92B5" w:themeColor="accent6"/>
        <w:bottom w:val="single" w:sz="8" w:space="0" w:color="5C92B5" w:themeColor="accent6"/>
        <w:right w:val="single" w:sz="8" w:space="0" w:color="5C92B5" w:themeColor="accent6"/>
        <w:insideH w:val="single" w:sz="8" w:space="0" w:color="5C92B5" w:themeColor="accent6"/>
        <w:insideV w:val="single" w:sz="8" w:space="0" w:color="5C92B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18" w:space="0" w:color="5C92B5" w:themeColor="accent6"/>
          <w:right w:val="single" w:sz="8" w:space="0" w:color="5C92B5" w:themeColor="accent6"/>
          <w:insideH w:val="nil"/>
          <w:insideV w:val="single" w:sz="8" w:space="0" w:color="5C92B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92B5" w:themeColor="accent6"/>
          <w:left w:val="single" w:sz="8" w:space="0" w:color="5C92B5" w:themeColor="accent6"/>
          <w:bottom w:val="single" w:sz="8" w:space="0" w:color="5C92B5" w:themeColor="accent6"/>
          <w:right w:val="single" w:sz="8" w:space="0" w:color="5C92B5" w:themeColor="accent6"/>
          <w:insideH w:val="nil"/>
          <w:insideV w:val="single" w:sz="8" w:space="0" w:color="5C92B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tcPr>
    </w:tblStylePr>
    <w:tblStylePr w:type="band1Vert">
      <w:tblPr/>
      <w:tcPr>
        <w:tcBorders>
          <w:top w:val="single" w:sz="8" w:space="0" w:color="5C92B5" w:themeColor="accent6"/>
          <w:left w:val="single" w:sz="8" w:space="0" w:color="5C92B5" w:themeColor="accent6"/>
          <w:bottom w:val="single" w:sz="8" w:space="0" w:color="5C92B5" w:themeColor="accent6"/>
          <w:right w:val="single" w:sz="8" w:space="0" w:color="5C92B5" w:themeColor="accent6"/>
        </w:tcBorders>
        <w:shd w:val="clear" w:color="auto" w:fill="D6E3EC" w:themeFill="accent6" w:themeFillTint="3F"/>
      </w:tcPr>
    </w:tblStylePr>
    <w:tblStylePr w:type="band1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shd w:val="clear" w:color="auto" w:fill="D6E3EC" w:themeFill="accent6" w:themeFillTint="3F"/>
      </w:tcPr>
    </w:tblStylePr>
    <w:tblStylePr w:type="band2Horz">
      <w:tblPr/>
      <w:tcPr>
        <w:tcBorders>
          <w:top w:val="single" w:sz="8" w:space="0" w:color="5C92B5" w:themeColor="accent6"/>
          <w:left w:val="single" w:sz="8" w:space="0" w:color="5C92B5" w:themeColor="accent6"/>
          <w:bottom w:val="single" w:sz="8" w:space="0" w:color="5C92B5" w:themeColor="accent6"/>
          <w:right w:val="single" w:sz="8" w:space="0" w:color="5C92B5" w:themeColor="accent6"/>
          <w:insideV w:val="single" w:sz="8" w:space="0" w:color="5C92B5"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6456">
      <w:bodyDiv w:val="1"/>
      <w:marLeft w:val="0"/>
      <w:marRight w:val="0"/>
      <w:marTop w:val="0"/>
      <w:marBottom w:val="0"/>
      <w:divBdr>
        <w:top w:val="none" w:sz="0" w:space="0" w:color="auto"/>
        <w:left w:val="none" w:sz="0" w:space="0" w:color="auto"/>
        <w:bottom w:val="none" w:sz="0" w:space="0" w:color="auto"/>
        <w:right w:val="none" w:sz="0" w:space="0" w:color="auto"/>
      </w:divBdr>
    </w:div>
    <w:div w:id="387530835">
      <w:bodyDiv w:val="1"/>
      <w:marLeft w:val="0"/>
      <w:marRight w:val="0"/>
      <w:marTop w:val="0"/>
      <w:marBottom w:val="0"/>
      <w:divBdr>
        <w:top w:val="none" w:sz="0" w:space="0" w:color="auto"/>
        <w:left w:val="none" w:sz="0" w:space="0" w:color="auto"/>
        <w:bottom w:val="none" w:sz="0" w:space="0" w:color="auto"/>
        <w:right w:val="none" w:sz="0" w:space="0" w:color="auto"/>
      </w:divBdr>
    </w:div>
    <w:div w:id="618342225">
      <w:bodyDiv w:val="1"/>
      <w:marLeft w:val="0"/>
      <w:marRight w:val="0"/>
      <w:marTop w:val="0"/>
      <w:marBottom w:val="0"/>
      <w:divBdr>
        <w:top w:val="none" w:sz="0" w:space="0" w:color="auto"/>
        <w:left w:val="none" w:sz="0" w:space="0" w:color="auto"/>
        <w:bottom w:val="none" w:sz="0" w:space="0" w:color="auto"/>
        <w:right w:val="none" w:sz="0" w:space="0" w:color="auto"/>
      </w:divBdr>
    </w:div>
    <w:div w:id="697121606">
      <w:bodyDiv w:val="1"/>
      <w:marLeft w:val="0"/>
      <w:marRight w:val="0"/>
      <w:marTop w:val="0"/>
      <w:marBottom w:val="0"/>
      <w:divBdr>
        <w:top w:val="none" w:sz="0" w:space="0" w:color="auto"/>
        <w:left w:val="none" w:sz="0" w:space="0" w:color="auto"/>
        <w:bottom w:val="none" w:sz="0" w:space="0" w:color="auto"/>
        <w:right w:val="none" w:sz="0" w:space="0" w:color="auto"/>
      </w:divBdr>
    </w:div>
    <w:div w:id="796798203">
      <w:bodyDiv w:val="1"/>
      <w:marLeft w:val="0"/>
      <w:marRight w:val="0"/>
      <w:marTop w:val="0"/>
      <w:marBottom w:val="0"/>
      <w:divBdr>
        <w:top w:val="none" w:sz="0" w:space="0" w:color="auto"/>
        <w:left w:val="none" w:sz="0" w:space="0" w:color="auto"/>
        <w:bottom w:val="none" w:sz="0" w:space="0" w:color="auto"/>
        <w:right w:val="none" w:sz="0" w:space="0" w:color="auto"/>
      </w:divBdr>
    </w:div>
    <w:div w:id="941453836">
      <w:bodyDiv w:val="1"/>
      <w:marLeft w:val="0"/>
      <w:marRight w:val="0"/>
      <w:marTop w:val="0"/>
      <w:marBottom w:val="0"/>
      <w:divBdr>
        <w:top w:val="none" w:sz="0" w:space="0" w:color="auto"/>
        <w:left w:val="none" w:sz="0" w:space="0" w:color="auto"/>
        <w:bottom w:val="none" w:sz="0" w:space="0" w:color="auto"/>
        <w:right w:val="none" w:sz="0" w:space="0" w:color="auto"/>
      </w:divBdr>
    </w:div>
    <w:div w:id="955253855">
      <w:bodyDiv w:val="1"/>
      <w:marLeft w:val="0"/>
      <w:marRight w:val="0"/>
      <w:marTop w:val="0"/>
      <w:marBottom w:val="0"/>
      <w:divBdr>
        <w:top w:val="none" w:sz="0" w:space="0" w:color="auto"/>
        <w:left w:val="none" w:sz="0" w:space="0" w:color="auto"/>
        <w:bottom w:val="none" w:sz="0" w:space="0" w:color="auto"/>
        <w:right w:val="none" w:sz="0" w:space="0" w:color="auto"/>
      </w:divBdr>
    </w:div>
    <w:div w:id="1243489721">
      <w:bodyDiv w:val="1"/>
      <w:marLeft w:val="0"/>
      <w:marRight w:val="0"/>
      <w:marTop w:val="0"/>
      <w:marBottom w:val="0"/>
      <w:divBdr>
        <w:top w:val="none" w:sz="0" w:space="0" w:color="auto"/>
        <w:left w:val="none" w:sz="0" w:space="0" w:color="auto"/>
        <w:bottom w:val="none" w:sz="0" w:space="0" w:color="auto"/>
        <w:right w:val="none" w:sz="0" w:space="0" w:color="auto"/>
      </w:divBdr>
    </w:div>
    <w:div w:id="1248153389">
      <w:bodyDiv w:val="1"/>
      <w:marLeft w:val="0"/>
      <w:marRight w:val="0"/>
      <w:marTop w:val="0"/>
      <w:marBottom w:val="0"/>
      <w:divBdr>
        <w:top w:val="none" w:sz="0" w:space="0" w:color="auto"/>
        <w:left w:val="none" w:sz="0" w:space="0" w:color="auto"/>
        <w:bottom w:val="none" w:sz="0" w:space="0" w:color="auto"/>
        <w:right w:val="none" w:sz="0" w:space="0" w:color="auto"/>
      </w:divBdr>
    </w:div>
    <w:div w:id="1448617782">
      <w:bodyDiv w:val="1"/>
      <w:marLeft w:val="0"/>
      <w:marRight w:val="0"/>
      <w:marTop w:val="0"/>
      <w:marBottom w:val="0"/>
      <w:divBdr>
        <w:top w:val="none" w:sz="0" w:space="0" w:color="auto"/>
        <w:left w:val="none" w:sz="0" w:space="0" w:color="auto"/>
        <w:bottom w:val="none" w:sz="0" w:space="0" w:color="auto"/>
        <w:right w:val="none" w:sz="0" w:space="0" w:color="auto"/>
      </w:divBdr>
    </w:div>
    <w:div w:id="1469278304">
      <w:bodyDiv w:val="1"/>
      <w:marLeft w:val="0"/>
      <w:marRight w:val="0"/>
      <w:marTop w:val="0"/>
      <w:marBottom w:val="0"/>
      <w:divBdr>
        <w:top w:val="none" w:sz="0" w:space="0" w:color="auto"/>
        <w:left w:val="none" w:sz="0" w:space="0" w:color="auto"/>
        <w:bottom w:val="none" w:sz="0" w:space="0" w:color="auto"/>
        <w:right w:val="none" w:sz="0" w:space="0" w:color="auto"/>
      </w:divBdr>
    </w:div>
    <w:div w:id="1516844877">
      <w:bodyDiv w:val="1"/>
      <w:marLeft w:val="0"/>
      <w:marRight w:val="0"/>
      <w:marTop w:val="0"/>
      <w:marBottom w:val="0"/>
      <w:divBdr>
        <w:top w:val="none" w:sz="0" w:space="0" w:color="auto"/>
        <w:left w:val="none" w:sz="0" w:space="0" w:color="auto"/>
        <w:bottom w:val="none" w:sz="0" w:space="0" w:color="auto"/>
        <w:right w:val="none" w:sz="0" w:space="0" w:color="auto"/>
      </w:divBdr>
    </w:div>
    <w:div w:id="1929732955">
      <w:bodyDiv w:val="1"/>
      <w:marLeft w:val="0"/>
      <w:marRight w:val="0"/>
      <w:marTop w:val="0"/>
      <w:marBottom w:val="0"/>
      <w:divBdr>
        <w:top w:val="none" w:sz="0" w:space="0" w:color="auto"/>
        <w:left w:val="none" w:sz="0" w:space="0" w:color="auto"/>
        <w:bottom w:val="none" w:sz="0" w:space="0" w:color="auto"/>
        <w:right w:val="none" w:sz="0" w:space="0" w:color="auto"/>
      </w:divBdr>
    </w:div>
    <w:div w:id="20216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ECEF-F356-4093-A8C6-48B312EB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Knappenberg</dc:creator>
  <cp:lastModifiedBy>Samantha Knappenberg</cp:lastModifiedBy>
  <cp:revision>3</cp:revision>
  <dcterms:created xsi:type="dcterms:W3CDTF">2016-05-11T20:19:00Z</dcterms:created>
  <dcterms:modified xsi:type="dcterms:W3CDTF">2016-05-12T21:04:00Z</dcterms:modified>
</cp:coreProperties>
</file>