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3B838" w14:textId="77777777" w:rsidR="00AE75F3" w:rsidRDefault="00AE75F3" w:rsidP="00AE75F3">
      <w:pPr>
        <w:ind w:firstLine="720"/>
        <w:rPr>
          <w:rFonts w:ascii="Helvetica" w:hAnsi="Helvetica" w:cs="Helvetica"/>
          <w:sz w:val="28"/>
          <w:szCs w:val="28"/>
        </w:rPr>
      </w:pPr>
    </w:p>
    <w:p w14:paraId="496F2265" w14:textId="77777777" w:rsidR="00AE75F3" w:rsidRDefault="00AE75F3" w:rsidP="00AE75F3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</w:rPr>
        <w:drawing>
          <wp:inline distT="0" distB="0" distL="0" distR="0" wp14:anchorId="7F20DBB9" wp14:editId="2A9A3CF2">
            <wp:extent cx="889000" cy="1150082"/>
            <wp:effectExtent l="25400" t="0" r="0" b="0"/>
            <wp:docPr id="4" name="Picture 1" descr="Macintosh HD:Users:aelliott:Documents:My Files:merri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elliott:Documents:My Files:merritt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8" cy="115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765AA" w14:textId="77777777" w:rsidR="00AE75F3" w:rsidRDefault="00AE75F3" w:rsidP="00AE75F3">
      <w:pPr>
        <w:ind w:firstLine="720"/>
        <w:rPr>
          <w:rFonts w:ascii="Helvetica" w:hAnsi="Helvetica" w:cs="Helvetica"/>
          <w:sz w:val="28"/>
          <w:szCs w:val="28"/>
        </w:rPr>
      </w:pPr>
    </w:p>
    <w:p w14:paraId="305416F5" w14:textId="77777777" w:rsidR="00AE75F3" w:rsidRDefault="00AE75F3" w:rsidP="00AE75F3">
      <w:pPr>
        <w:jc w:val="center"/>
        <w:rPr>
          <w:rFonts w:cs="Helvetica"/>
          <w:b/>
          <w:sz w:val="38"/>
          <w:szCs w:val="28"/>
        </w:rPr>
      </w:pPr>
    </w:p>
    <w:p w14:paraId="25017392" w14:textId="77777777" w:rsidR="00AE75F3" w:rsidRDefault="00AE75F3" w:rsidP="00AE75F3">
      <w:pPr>
        <w:jc w:val="center"/>
        <w:rPr>
          <w:rFonts w:cs="Helvetica"/>
          <w:b/>
          <w:sz w:val="38"/>
          <w:szCs w:val="28"/>
        </w:rPr>
      </w:pPr>
    </w:p>
    <w:p w14:paraId="43BB7537" w14:textId="77777777" w:rsidR="00AE75F3" w:rsidRPr="00EC527A" w:rsidRDefault="00AE75F3" w:rsidP="00AE75F3">
      <w:pPr>
        <w:jc w:val="center"/>
        <w:rPr>
          <w:rFonts w:cs="Helvetica"/>
          <w:b/>
          <w:sz w:val="38"/>
          <w:szCs w:val="28"/>
        </w:rPr>
      </w:pPr>
      <w:r w:rsidRPr="00EC527A">
        <w:rPr>
          <w:rFonts w:cs="Helvetica"/>
          <w:b/>
          <w:sz w:val="38"/>
          <w:szCs w:val="28"/>
        </w:rPr>
        <w:t>MERRITT COLLEGE</w:t>
      </w:r>
    </w:p>
    <w:p w14:paraId="098C9C45" w14:textId="77777777" w:rsidR="00AE75F3" w:rsidRDefault="00AE75F3" w:rsidP="00AE75F3">
      <w:pPr>
        <w:rPr>
          <w:rFonts w:ascii="Helvetica" w:hAnsi="Helvetica" w:cs="Helvetica"/>
          <w:sz w:val="28"/>
          <w:szCs w:val="28"/>
        </w:rPr>
      </w:pPr>
    </w:p>
    <w:p w14:paraId="7253BC02" w14:textId="77777777" w:rsidR="00AE75F3" w:rsidRPr="00EC527A" w:rsidRDefault="00AE75F3" w:rsidP="00AE75F3">
      <w:pPr>
        <w:spacing w:after="0"/>
        <w:jc w:val="center"/>
        <w:rPr>
          <w:b/>
          <w:sz w:val="34"/>
          <w:szCs w:val="26"/>
        </w:rPr>
      </w:pPr>
      <w:r w:rsidRPr="00EC527A">
        <w:rPr>
          <w:b/>
          <w:sz w:val="34"/>
          <w:szCs w:val="26"/>
        </w:rPr>
        <w:t>2013-2014 ESL/Basic Skills Allocation End-of-Year Report</w:t>
      </w:r>
    </w:p>
    <w:p w14:paraId="11609ABB" w14:textId="77777777" w:rsidR="00AE75F3" w:rsidRPr="00EC527A" w:rsidRDefault="00AE75F3" w:rsidP="00AE75F3">
      <w:pPr>
        <w:spacing w:after="0"/>
        <w:ind w:firstLine="720"/>
        <w:jc w:val="center"/>
        <w:rPr>
          <w:b/>
          <w:sz w:val="34"/>
          <w:szCs w:val="26"/>
        </w:rPr>
      </w:pPr>
      <w:r w:rsidRPr="00EC527A">
        <w:rPr>
          <w:b/>
          <w:sz w:val="34"/>
          <w:szCs w:val="26"/>
        </w:rPr>
        <w:t>2014-2015 ESL/Basic Skills Allocation Goals/</w:t>
      </w:r>
    </w:p>
    <w:p w14:paraId="421CB11B" w14:textId="77777777" w:rsidR="00AE75F3" w:rsidRPr="00EC527A" w:rsidRDefault="00AE75F3" w:rsidP="00AE75F3">
      <w:pPr>
        <w:ind w:firstLine="720"/>
        <w:jc w:val="center"/>
        <w:rPr>
          <w:rFonts w:ascii="Helvetica" w:hAnsi="Helvetica" w:cs="Helvetica"/>
          <w:sz w:val="34"/>
          <w:szCs w:val="28"/>
        </w:rPr>
      </w:pPr>
      <w:r w:rsidRPr="00EC527A">
        <w:rPr>
          <w:b/>
          <w:sz w:val="34"/>
          <w:szCs w:val="26"/>
        </w:rPr>
        <w:t>Action Plan and Expenditure Plan</w:t>
      </w:r>
    </w:p>
    <w:p w14:paraId="61C322FC" w14:textId="77777777" w:rsidR="00AE75F3" w:rsidRDefault="00AE75F3" w:rsidP="00AE75F3">
      <w:pPr>
        <w:ind w:firstLine="720"/>
        <w:rPr>
          <w:rFonts w:ascii="Helvetica" w:hAnsi="Helvetica" w:cs="Helvetica"/>
          <w:sz w:val="28"/>
          <w:szCs w:val="28"/>
        </w:rPr>
      </w:pPr>
    </w:p>
    <w:p w14:paraId="16221702" w14:textId="77777777" w:rsidR="00AE75F3" w:rsidRDefault="00AE75F3" w:rsidP="00AE75F3">
      <w:pPr>
        <w:rPr>
          <w:rFonts w:ascii="Helvetica" w:hAnsi="Helvetica" w:cs="Helvetica"/>
          <w:sz w:val="28"/>
          <w:szCs w:val="28"/>
        </w:rPr>
      </w:pPr>
    </w:p>
    <w:p w14:paraId="34D96C10" w14:textId="77777777" w:rsidR="00AE75F3" w:rsidRDefault="00AE75F3" w:rsidP="00AE75F3">
      <w:pPr>
        <w:rPr>
          <w:rFonts w:ascii="Helvetica" w:hAnsi="Helvetica" w:cs="Helvetica"/>
          <w:sz w:val="28"/>
          <w:szCs w:val="28"/>
        </w:rPr>
      </w:pPr>
    </w:p>
    <w:p w14:paraId="14136E78" w14:textId="77777777" w:rsidR="00AE75F3" w:rsidRDefault="00AE75F3" w:rsidP="00AE75F3">
      <w:pPr>
        <w:rPr>
          <w:rFonts w:ascii="Helvetica" w:hAnsi="Helvetica" w:cs="Helvetica"/>
          <w:sz w:val="28"/>
          <w:szCs w:val="28"/>
        </w:rPr>
      </w:pPr>
    </w:p>
    <w:p w14:paraId="48819E1A" w14:textId="77777777" w:rsidR="00AE75F3" w:rsidRDefault="00AE75F3" w:rsidP="00AE75F3">
      <w:pPr>
        <w:rPr>
          <w:rFonts w:ascii="Helvetica" w:hAnsi="Helvetica" w:cs="Helvetica"/>
          <w:sz w:val="28"/>
          <w:szCs w:val="28"/>
        </w:rPr>
      </w:pPr>
    </w:p>
    <w:p w14:paraId="2F9B213D" w14:textId="77777777" w:rsidR="00AE75F3" w:rsidRDefault="00AE75F3" w:rsidP="00AE75F3">
      <w:pPr>
        <w:rPr>
          <w:rFonts w:ascii="Helvetica" w:hAnsi="Helvetica" w:cs="Helvetica"/>
          <w:sz w:val="28"/>
          <w:szCs w:val="28"/>
        </w:rPr>
      </w:pPr>
    </w:p>
    <w:p w14:paraId="6D56FA2C" w14:textId="77777777" w:rsidR="00AE75F3" w:rsidRDefault="00AE75F3" w:rsidP="00AE75F3">
      <w:pPr>
        <w:ind w:firstLine="720"/>
        <w:rPr>
          <w:rFonts w:ascii="Helvetica" w:hAnsi="Helvetica" w:cs="Helvetica"/>
          <w:sz w:val="28"/>
          <w:szCs w:val="28"/>
        </w:rPr>
      </w:pPr>
    </w:p>
    <w:p w14:paraId="3CC86218" w14:textId="77777777" w:rsidR="00AE75F3" w:rsidRPr="00EC527A" w:rsidRDefault="00AE75F3" w:rsidP="00AE75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Helvetica"/>
          <w:smallCaps/>
          <w:szCs w:val="28"/>
        </w:rPr>
      </w:pPr>
      <w:r w:rsidRPr="00EC527A">
        <w:rPr>
          <w:rFonts w:cs="Helvetica"/>
          <w:smallCaps/>
          <w:szCs w:val="28"/>
        </w:rPr>
        <w:t>Mission Statement Merritt College Basic Skills Program</w:t>
      </w:r>
    </w:p>
    <w:p w14:paraId="6E681326" w14:textId="77777777" w:rsidR="00AE75F3" w:rsidRPr="00EC527A" w:rsidRDefault="00AE75F3" w:rsidP="00AE75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EC527A">
        <w:rPr>
          <w:rFonts w:cs="Helvetica"/>
          <w:szCs w:val="28"/>
        </w:rPr>
        <w:t>Our mission is to support the academic achievement and personal development of students who are building their reading, writing, critical thinking and mathematic skills to succeed in college-level work.  We offer excellent academic programs and comprehensive support services in a culturally rich environment to help students realize their educational, personal</w:t>
      </w:r>
      <w:r w:rsidRPr="00EC527A">
        <w:rPr>
          <w:rFonts w:ascii="Helvetica" w:hAnsi="Helvetica" w:cs="Helvetica"/>
          <w:szCs w:val="28"/>
        </w:rPr>
        <w:t xml:space="preserve">, </w:t>
      </w:r>
      <w:r w:rsidRPr="006013B5">
        <w:rPr>
          <w:rFonts w:cs="Times New Roman"/>
        </w:rPr>
        <w:t>and career goals</w:t>
      </w:r>
      <w:r w:rsidRPr="00EC527A">
        <w:rPr>
          <w:rFonts w:ascii="Helvetica" w:hAnsi="Helvetica" w:cs="Helvetica"/>
          <w:szCs w:val="28"/>
        </w:rPr>
        <w:t>.  </w:t>
      </w:r>
      <w:r w:rsidRPr="00EC527A">
        <w:rPr>
          <w:rFonts w:cs="Helvetica"/>
          <w:szCs w:val="28"/>
        </w:rPr>
        <w:t>We treat all students as valued partners in this educational journey and welcome them to a supportive, respectful and challenging college experience.</w:t>
      </w:r>
    </w:p>
    <w:p w14:paraId="29B3903E" w14:textId="77777777" w:rsidR="00AE75F3" w:rsidRDefault="00AE75F3" w:rsidP="00AE75F3"/>
    <w:p w14:paraId="68B162AD" w14:textId="77777777" w:rsidR="001D3F60" w:rsidRPr="00AE75F3" w:rsidRDefault="00AE75F3" w:rsidP="00AE75F3">
      <w:pPr>
        <w:rPr>
          <w:rFonts w:ascii="Helvetica" w:hAnsi="Helvetica" w:cs="Helvetica"/>
          <w:sz w:val="28"/>
          <w:szCs w:val="28"/>
        </w:rPr>
      </w:pPr>
      <w:r>
        <w:rPr>
          <w:sz w:val="26"/>
        </w:rPr>
        <w:br w:type="page"/>
      </w:r>
      <w:r>
        <w:rPr>
          <w:sz w:val="26"/>
        </w:rPr>
        <w:lastRenderedPageBreak/>
        <w:t xml:space="preserve"> </w:t>
      </w:r>
      <w:r w:rsidR="003675E5">
        <w:rPr>
          <w:sz w:val="26"/>
        </w:rPr>
        <w:t xml:space="preserve">[2] </w:t>
      </w:r>
      <w:r w:rsidR="001D3F60" w:rsidRPr="001D3F60">
        <w:rPr>
          <w:sz w:val="26"/>
        </w:rPr>
        <w:t xml:space="preserve">Narrative Section: </w:t>
      </w:r>
    </w:p>
    <w:p w14:paraId="782383FA" w14:textId="77777777" w:rsidR="001D3F60" w:rsidRPr="00DC450E" w:rsidRDefault="001D3F60" w:rsidP="001D3F60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How is your college progressing</w:t>
      </w:r>
      <w:r w:rsidRPr="00DC450E">
        <w:rPr>
          <w:b/>
        </w:rPr>
        <w:t xml:space="preserve"> about institutionalizing your basic skills funded programs and projects?</w:t>
      </w:r>
      <w:r>
        <w:rPr>
          <w:b/>
        </w:rPr>
        <w:t xml:space="preserve"> </w:t>
      </w:r>
      <w:r w:rsidRPr="00DC450E">
        <w:rPr>
          <w:b/>
        </w:rPr>
        <w:t>What are the obstacles to doing so?</w:t>
      </w:r>
    </w:p>
    <w:p w14:paraId="058AF4B3" w14:textId="77777777" w:rsidR="001D3F60" w:rsidRPr="00DC450E" w:rsidRDefault="001D3F60" w:rsidP="001D3F60">
      <w:pPr>
        <w:pStyle w:val="NoSpacing"/>
        <w:numPr>
          <w:ilvl w:val="0"/>
          <w:numId w:val="2"/>
        </w:numPr>
        <w:rPr>
          <w:b/>
        </w:rPr>
      </w:pPr>
      <w:r w:rsidRPr="00DC450E">
        <w:rPr>
          <w:b/>
        </w:rPr>
        <w:t>How are you scaling up successful projects and programs?</w:t>
      </w:r>
    </w:p>
    <w:p w14:paraId="3EDA39A4" w14:textId="77777777" w:rsidR="001D3F60" w:rsidRDefault="001D3F60" w:rsidP="001D3F60">
      <w:pPr>
        <w:pStyle w:val="NoSpacing"/>
        <w:numPr>
          <w:ilvl w:val="0"/>
          <w:numId w:val="2"/>
        </w:numPr>
        <w:rPr>
          <w:b/>
        </w:rPr>
      </w:pPr>
      <w:r w:rsidRPr="00DC450E">
        <w:rPr>
          <w:b/>
        </w:rPr>
        <w:t>How does your basic skills fund support the goals of SSSP plans and Student Equity plans?</w:t>
      </w:r>
    </w:p>
    <w:p w14:paraId="54E20E69" w14:textId="77777777" w:rsidR="001D3F60" w:rsidRPr="00DC450E" w:rsidRDefault="001D3F60" w:rsidP="001D3F60">
      <w:pPr>
        <w:pStyle w:val="NoSpacing"/>
        <w:ind w:left="720"/>
        <w:rPr>
          <w:b/>
        </w:rPr>
      </w:pPr>
    </w:p>
    <w:p w14:paraId="7F4FB712" w14:textId="77777777" w:rsidR="00673F41" w:rsidRDefault="008D7477" w:rsidP="008D7477">
      <w:pPr>
        <w:spacing w:line="360" w:lineRule="auto"/>
      </w:pPr>
      <w:r>
        <w:t xml:space="preserve">Merritt College continues to focus on the success and persistence of </w:t>
      </w:r>
      <w:r w:rsidR="00673F41">
        <w:t xml:space="preserve">students who assess into  basic </w:t>
      </w:r>
      <w:r>
        <w:t>skills math and English.   (At this time Merritt is only offering two ESL courses:  High Beginning Speaking and Listening and High Beginning Grammar. Servi</w:t>
      </w:r>
      <w:r w:rsidR="002E2263">
        <w:t>ng fewer than 50 students, so t</w:t>
      </w:r>
      <w:r>
        <w:t xml:space="preserve">his report does not include ESL.)   One </w:t>
      </w:r>
      <w:r w:rsidR="007F13B3">
        <w:t>of the significant achievement</w:t>
      </w:r>
      <w:r w:rsidR="00B43C29">
        <w:t>s</w:t>
      </w:r>
      <w:r w:rsidR="007F13B3">
        <w:t xml:space="preserve"> </w:t>
      </w:r>
      <w:r>
        <w:t>for the college was the hiring of a</w:t>
      </w:r>
      <w:r w:rsidR="00673F41">
        <w:t xml:space="preserve"> </w:t>
      </w:r>
      <w:r w:rsidR="00456FE7">
        <w:t xml:space="preserve">full-time counselor to </w:t>
      </w:r>
      <w:r>
        <w:t>focus on the first</w:t>
      </w:r>
      <w:r w:rsidR="004A62B1">
        <w:t>-year experience</w:t>
      </w:r>
      <w:r w:rsidR="00B43C29">
        <w:t>.</w:t>
      </w:r>
      <w:r w:rsidR="004A62B1">
        <w:t xml:space="preserve"> </w:t>
      </w:r>
      <w:r w:rsidR="00B43C29">
        <w:t>Although</w:t>
      </w:r>
      <w:r>
        <w:t xml:space="preserve"> we continue to fund a basic skills counselor through</w:t>
      </w:r>
      <w:r w:rsidR="001D3F60">
        <w:t xml:space="preserve"> the BSI; </w:t>
      </w:r>
      <w:r w:rsidR="004A62B1">
        <w:t>this new counselor’</w:t>
      </w:r>
      <w:r>
        <w:t>s focus will align with the work of the BSI counselor and more basic skills stud</w:t>
      </w:r>
      <w:r w:rsidR="00673F41">
        <w:t>e</w:t>
      </w:r>
      <w:r>
        <w:t>n</w:t>
      </w:r>
      <w:r w:rsidR="00673F41">
        <w:t>t</w:t>
      </w:r>
      <w:r w:rsidR="003675E5">
        <w:t xml:space="preserve">s will be able to receive </w:t>
      </w:r>
      <w:r w:rsidR="004A62B1">
        <w:t xml:space="preserve">on- going </w:t>
      </w:r>
      <w:r>
        <w:t>coun</w:t>
      </w:r>
      <w:r w:rsidR="00673F41">
        <w:t xml:space="preserve">seling services.  In addition, </w:t>
      </w:r>
      <w:r>
        <w:t>the hiring of a first</w:t>
      </w:r>
      <w:r w:rsidR="004A62B1">
        <w:t>-</w:t>
      </w:r>
      <w:r w:rsidR="002E2263">
        <w:t xml:space="preserve">year experience counselor </w:t>
      </w:r>
      <w:r w:rsidR="00673F41">
        <w:t>aligns</w:t>
      </w:r>
      <w:r>
        <w:t xml:space="preserve"> with the g</w:t>
      </w:r>
      <w:r w:rsidR="002E2263">
        <w:t xml:space="preserve">oals of our </w:t>
      </w:r>
      <w:r w:rsidR="00BC6D36">
        <w:t>Title III grant</w:t>
      </w:r>
      <w:r w:rsidR="00673F41">
        <w:t>,</w:t>
      </w:r>
      <w:r w:rsidR="00BC6D36">
        <w:t xml:space="preserve"> </w:t>
      </w:r>
      <w:r w:rsidR="00673F41">
        <w:t>w</w:t>
      </w:r>
      <w:r>
        <w:t>hich is sun</w:t>
      </w:r>
      <w:r w:rsidR="00673F41">
        <w:t xml:space="preserve"> </w:t>
      </w:r>
      <w:r>
        <w:t>setting this fall</w:t>
      </w:r>
      <w:r w:rsidR="00673F41">
        <w:t>.</w:t>
      </w:r>
    </w:p>
    <w:p w14:paraId="302F2114" w14:textId="77777777" w:rsidR="00BC6D36" w:rsidRDefault="002E2263" w:rsidP="008D7477">
      <w:pPr>
        <w:spacing w:line="360" w:lineRule="auto"/>
      </w:pPr>
      <w:r>
        <w:t xml:space="preserve">Another </w:t>
      </w:r>
      <w:r w:rsidR="00673F41">
        <w:t xml:space="preserve">strategy </w:t>
      </w:r>
      <w:r w:rsidR="00BC6D36">
        <w:t xml:space="preserve">that </w:t>
      </w:r>
      <w:r w:rsidR="002033B0">
        <w:t xml:space="preserve">has </w:t>
      </w:r>
      <w:r w:rsidR="00BC6D36">
        <w:t xml:space="preserve"> becom</w:t>
      </w:r>
      <w:r w:rsidR="002033B0">
        <w:t>e</w:t>
      </w:r>
      <w:r w:rsidR="00BC6D36">
        <w:t xml:space="preserve"> an institution-wide </w:t>
      </w:r>
      <w:r w:rsidR="00673F41">
        <w:t xml:space="preserve">practice is embedded tutoring.   </w:t>
      </w:r>
      <w:r>
        <w:t xml:space="preserve"> BSI was the first grant to </w:t>
      </w:r>
      <w:r w:rsidR="00673F41">
        <w:t>adopt th</w:t>
      </w:r>
      <w:r w:rsidR="00BC6D36">
        <w:t xml:space="preserve">is strategy and now all grants </w:t>
      </w:r>
      <w:r w:rsidR="00673F41">
        <w:t xml:space="preserve">that come to the college include this component.  Faculty teaching </w:t>
      </w:r>
      <w:r>
        <w:t>transfer</w:t>
      </w:r>
      <w:r w:rsidR="002033B0">
        <w:t>-</w:t>
      </w:r>
      <w:r w:rsidR="00673F41">
        <w:t xml:space="preserve">level </w:t>
      </w:r>
      <w:r>
        <w:t>curriculum</w:t>
      </w:r>
      <w:r w:rsidR="00673F41">
        <w:t xml:space="preserve"> are also </w:t>
      </w:r>
      <w:r>
        <w:t>requesting</w:t>
      </w:r>
      <w:r w:rsidR="00673F41">
        <w:t xml:space="preserve"> for embedded tutoring. </w:t>
      </w:r>
      <w:r>
        <w:t xml:space="preserve"> </w:t>
      </w:r>
      <w:r w:rsidR="003675E5">
        <w:t xml:space="preserve">During  2013-14, </w:t>
      </w:r>
      <w:r>
        <w:t xml:space="preserve">BSI </w:t>
      </w:r>
      <w:r w:rsidR="003675E5">
        <w:t xml:space="preserve"> </w:t>
      </w:r>
      <w:r>
        <w:t>funded research projec</w:t>
      </w:r>
      <w:r w:rsidR="002033B0">
        <w:t xml:space="preserve">ts, and </w:t>
      </w:r>
      <w:r w:rsidR="007F13B3">
        <w:t xml:space="preserve">now the college is </w:t>
      </w:r>
      <w:r>
        <w:t>discussing how to continue th</w:t>
      </w:r>
      <w:r w:rsidR="00BC6D36">
        <w:t>is</w:t>
      </w:r>
      <w:r>
        <w:t xml:space="preserve"> </w:t>
      </w:r>
      <w:r w:rsidR="00BC6D36">
        <w:t xml:space="preserve"> </w:t>
      </w:r>
      <w:r>
        <w:t>analysis of dat</w:t>
      </w:r>
      <w:r w:rsidR="003675E5">
        <w:t>a</w:t>
      </w:r>
      <w:r w:rsidR="00BC6D36">
        <w:t xml:space="preserve"> without having to rely </w:t>
      </w:r>
      <w:r w:rsidR="002033B0">
        <w:t xml:space="preserve">solely </w:t>
      </w:r>
      <w:r w:rsidR="00BC6D36">
        <w:t>on BSI funds</w:t>
      </w:r>
      <w:r>
        <w:t xml:space="preserve">.   </w:t>
      </w:r>
    </w:p>
    <w:p w14:paraId="1B14D9B4" w14:textId="77777777" w:rsidR="002E2263" w:rsidRDefault="001D3F60" w:rsidP="008D7477">
      <w:pPr>
        <w:spacing w:line="360" w:lineRule="auto"/>
      </w:pPr>
      <w:r>
        <w:t xml:space="preserve">SSSP </w:t>
      </w:r>
      <w:r w:rsidR="002E2263">
        <w:t>BSI alignment</w:t>
      </w:r>
      <w:r w:rsidR="007F13B3">
        <w:t xml:space="preserve">:   </w:t>
      </w:r>
    </w:p>
    <w:p w14:paraId="09F09547" w14:textId="77777777" w:rsidR="003675E5" w:rsidRDefault="002E2263" w:rsidP="008D7477">
      <w:pPr>
        <w:spacing w:line="360" w:lineRule="auto"/>
      </w:pPr>
      <w:r>
        <w:t>The BS</w:t>
      </w:r>
      <w:r w:rsidR="00B43C29">
        <w:t>I</w:t>
      </w:r>
      <w:r>
        <w:t xml:space="preserve"> action plan </w:t>
      </w:r>
      <w:r w:rsidR="00B43C29">
        <w:t xml:space="preserve">aligns </w:t>
      </w:r>
      <w:r>
        <w:t>with the SSSP action plans i</w:t>
      </w:r>
      <w:r w:rsidR="00B43C29">
        <w:t xml:space="preserve">n a number of ways.   First, there is </w:t>
      </w:r>
      <w:r>
        <w:t xml:space="preserve">a focus on pre-assessment activities </w:t>
      </w:r>
      <w:r w:rsidR="00B43C29">
        <w:t xml:space="preserve">for </w:t>
      </w:r>
      <w:r>
        <w:t>math</w:t>
      </w:r>
      <w:r w:rsidR="00B43C29">
        <w:t>.</w:t>
      </w:r>
      <w:r>
        <w:t xml:space="preserve">  The BSI funded a pilot “</w:t>
      </w:r>
      <w:r w:rsidR="00B43C29">
        <w:t>M</w:t>
      </w:r>
      <w:r w:rsidR="001D3F60">
        <w:t xml:space="preserve">ath Jam” </w:t>
      </w:r>
      <w:r>
        <w:t xml:space="preserve">a week before </w:t>
      </w:r>
      <w:r w:rsidR="00B43C29">
        <w:t xml:space="preserve">F14 </w:t>
      </w:r>
      <w:r w:rsidR="0072608E">
        <w:t xml:space="preserve">classes gave </w:t>
      </w:r>
      <w:r>
        <w:t>students the opportunity to  brush up on their  skills and take the assessment test a second time to see if they were now  able  to test into a different class.  And indeed that is what has happened.  Other changes under discussion among the leadership of BSI and SSSP</w:t>
      </w:r>
      <w:r w:rsidR="00B43C29">
        <w:t xml:space="preserve"> include the </w:t>
      </w:r>
      <w:r w:rsidR="00BC6D36">
        <w:t xml:space="preserve"> plan to </w:t>
      </w:r>
      <w:r>
        <w:t>strengthen the  counseling</w:t>
      </w:r>
      <w:r w:rsidR="00E70432">
        <w:t xml:space="preserve"> </w:t>
      </w:r>
      <w:r w:rsidR="00BC6D36">
        <w:t>activities</w:t>
      </w:r>
      <w:r>
        <w:t xml:space="preserve"> of both grants</w:t>
      </w:r>
      <w:r w:rsidR="004B470B">
        <w:t xml:space="preserve">. The BSI </w:t>
      </w:r>
      <w:r w:rsidR="00BC6D36">
        <w:t>funds</w:t>
      </w:r>
      <w:r w:rsidR="00E70432">
        <w:t xml:space="preserve"> a counselor who </w:t>
      </w:r>
      <w:r w:rsidR="00BC6D36">
        <w:t>works</w:t>
      </w:r>
      <w:r w:rsidR="004B470B">
        <w:t xml:space="preserve"> closely with at risk </w:t>
      </w:r>
      <w:r w:rsidR="00BC6D36">
        <w:t>students</w:t>
      </w:r>
      <w:r w:rsidR="004B470B">
        <w:t xml:space="preserve">, </w:t>
      </w:r>
      <w:r w:rsidR="00BC6D36">
        <w:t>calling</w:t>
      </w:r>
      <w:r w:rsidR="004B470B">
        <w:t xml:space="preserve"> them </w:t>
      </w:r>
      <w:r w:rsidR="00BC6D36">
        <w:t>for</w:t>
      </w:r>
      <w:r w:rsidR="004B470B">
        <w:t xml:space="preserve"> appointments and meeting with them to work out </w:t>
      </w:r>
      <w:r w:rsidR="00BC6D36">
        <w:t>appropriate services and to revise and update their education plans</w:t>
      </w:r>
      <w:r w:rsidR="004B470B">
        <w:t xml:space="preserve">.  One of the ways we see the impact of this is in the </w:t>
      </w:r>
      <w:r w:rsidR="00BC6D36">
        <w:t>data mart</w:t>
      </w:r>
      <w:r w:rsidR="0072608E">
        <w:t>;</w:t>
      </w:r>
      <w:r w:rsidR="00BC6D36">
        <w:t xml:space="preserve"> unprepared students complete 30 units at a higher rate  (61.2%) than college prepared students (53.6%) or students overall.  The SSS</w:t>
      </w:r>
      <w:r w:rsidR="00B43C29">
        <w:t>P</w:t>
      </w:r>
      <w:r w:rsidR="00BC6D36">
        <w:t xml:space="preserve"> is focusing </w:t>
      </w:r>
      <w:r w:rsidR="002033B0">
        <w:t xml:space="preserve">on what experiences </w:t>
      </w:r>
      <w:r w:rsidR="00BC6D36">
        <w:t>students say help them succe</w:t>
      </w:r>
      <w:r w:rsidR="00463BC4">
        <w:t xml:space="preserve">ed—connected, nurtured, directed, focused, engaged, and valued. </w:t>
      </w:r>
      <w:r w:rsidR="003675E5">
        <w:t xml:space="preserve">—all </w:t>
      </w:r>
      <w:r w:rsidR="00BC6D36">
        <w:t xml:space="preserve">these experiences </w:t>
      </w:r>
      <w:r w:rsidR="001D3F60">
        <w:t xml:space="preserve">can be </w:t>
      </w:r>
      <w:r w:rsidR="00BC6D36">
        <w:t xml:space="preserve"> </w:t>
      </w:r>
      <w:r w:rsidR="00B43C29">
        <w:t>addressed through counseling.</w:t>
      </w:r>
      <w:r w:rsidR="00BC6D36">
        <w:t xml:space="preserve"> </w:t>
      </w:r>
    </w:p>
    <w:p w14:paraId="6D9B71D3" w14:textId="77777777" w:rsidR="003675E5" w:rsidRDefault="003675E5" w:rsidP="003675E5">
      <w:pPr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/>
        </w:rPr>
      </w:pPr>
    </w:p>
    <w:p w14:paraId="7F6A8BDB" w14:textId="77777777" w:rsidR="003675E5" w:rsidRPr="00907144" w:rsidRDefault="003675E5" w:rsidP="003675E5">
      <w:pPr>
        <w:spacing w:after="0"/>
        <w:rPr>
          <w:b/>
          <w:color w:val="2C5DA6"/>
        </w:rPr>
      </w:pPr>
      <w:r w:rsidRPr="00907144">
        <w:rPr>
          <w:b/>
          <w:color w:val="2C5DA6"/>
        </w:rPr>
        <w:t>[3]. Data Analysis using the Basic Skills Cohort Progress Tracking Tool</w:t>
      </w:r>
    </w:p>
    <w:p w14:paraId="35845974" w14:textId="77777777" w:rsidR="002E2263" w:rsidRPr="003675E5" w:rsidRDefault="003675E5" w:rsidP="003675E5">
      <w:pPr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/>
        </w:rPr>
      </w:pPr>
      <w:r w:rsidRPr="003675E5">
        <w:rPr>
          <w:rFonts w:ascii="Calibri" w:hAnsi="Calibri" w:cs="Calibri"/>
          <w:b/>
          <w:color w:val="000000"/>
        </w:rPr>
        <w:t xml:space="preserve">Was your college’s basic skills program more successful in 2011-2013 than it was in 2009-2011? Explain your answer for each discipline separately. </w:t>
      </w:r>
    </w:p>
    <w:p w14:paraId="31688B96" w14:textId="77777777" w:rsidR="001A4CA1" w:rsidRDefault="002033B0" w:rsidP="001A4CA1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 wp14:anchorId="7A20E9C0" wp14:editId="5BB462C9">
            <wp:extent cx="5934257" cy="1308100"/>
            <wp:effectExtent l="25400" t="0" r="9343" b="0"/>
            <wp:docPr id="3" name="Picture 1" descr=":Engl252_09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Engl252_09-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7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FC82C" w14:textId="77777777" w:rsidR="001A4CA1" w:rsidRDefault="00847265" w:rsidP="00847265">
      <w:pPr>
        <w:pStyle w:val="Default"/>
        <w:tabs>
          <w:tab w:val="left" w:pos="2784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14:paraId="626EE8D2" w14:textId="77777777" w:rsidR="001A4CA1" w:rsidRDefault="00722FD6" w:rsidP="001A4CA1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 wp14:anchorId="323E928F" wp14:editId="2589541D">
            <wp:extent cx="5943600" cy="1148080"/>
            <wp:effectExtent l="25400" t="0" r="0" b="0"/>
            <wp:docPr id="2" name="Picture 2" descr=":Engl252_2011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Engl252_2011-2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699E7" w14:textId="77777777" w:rsidR="00722FD6" w:rsidRDefault="002033B0" w:rsidP="001A4CA1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ENGLISH:  </w:t>
      </w:r>
      <w:r w:rsidR="007F13B3">
        <w:rPr>
          <w:bCs/>
          <w:sz w:val="23"/>
          <w:szCs w:val="23"/>
        </w:rPr>
        <w:t>These tables show that</w:t>
      </w:r>
      <w:r w:rsidR="00722FD6">
        <w:rPr>
          <w:bCs/>
          <w:sz w:val="23"/>
          <w:szCs w:val="23"/>
        </w:rPr>
        <w:t xml:space="preserve">, yes, we were slightly more successful </w:t>
      </w:r>
      <w:r>
        <w:rPr>
          <w:bCs/>
          <w:sz w:val="23"/>
          <w:szCs w:val="23"/>
        </w:rPr>
        <w:t>2011-13 i</w:t>
      </w:r>
      <w:r w:rsidR="00722FD6">
        <w:rPr>
          <w:bCs/>
          <w:sz w:val="23"/>
          <w:szCs w:val="23"/>
        </w:rPr>
        <w:t>n terms of stud</w:t>
      </w:r>
      <w:r w:rsidR="0008107E">
        <w:rPr>
          <w:bCs/>
          <w:sz w:val="23"/>
          <w:szCs w:val="23"/>
        </w:rPr>
        <w:t>ent</w:t>
      </w:r>
      <w:r w:rsidR="00722FD6">
        <w:rPr>
          <w:bCs/>
          <w:sz w:val="23"/>
          <w:szCs w:val="23"/>
        </w:rPr>
        <w:t>s who started in basic skills English completing the transfer level cou</w:t>
      </w:r>
      <w:r w:rsidR="0008107E">
        <w:rPr>
          <w:bCs/>
          <w:sz w:val="23"/>
          <w:szCs w:val="23"/>
        </w:rPr>
        <w:t>rs</w:t>
      </w:r>
      <w:r w:rsidR="00722FD6">
        <w:rPr>
          <w:bCs/>
          <w:sz w:val="23"/>
          <w:szCs w:val="23"/>
        </w:rPr>
        <w:t>e within three years.  We went from 1</w:t>
      </w:r>
      <w:r w:rsidR="0008107E">
        <w:rPr>
          <w:bCs/>
          <w:sz w:val="23"/>
          <w:szCs w:val="23"/>
        </w:rPr>
        <w:t>0</w:t>
      </w:r>
      <w:r w:rsidR="00722FD6">
        <w:rPr>
          <w:bCs/>
          <w:sz w:val="23"/>
          <w:szCs w:val="23"/>
        </w:rPr>
        <w:t xml:space="preserve">% to </w:t>
      </w:r>
      <w:r w:rsidR="0008107E">
        <w:rPr>
          <w:bCs/>
          <w:sz w:val="23"/>
          <w:szCs w:val="23"/>
        </w:rPr>
        <w:t>13</w:t>
      </w:r>
      <w:r w:rsidR="00722FD6">
        <w:rPr>
          <w:bCs/>
          <w:sz w:val="23"/>
          <w:szCs w:val="23"/>
        </w:rPr>
        <w:t>%.</w:t>
      </w:r>
    </w:p>
    <w:p w14:paraId="50AB160C" w14:textId="77777777" w:rsidR="00722FD6" w:rsidRDefault="00722FD6" w:rsidP="001A4CA1">
      <w:pPr>
        <w:pStyle w:val="Default"/>
        <w:rPr>
          <w:bCs/>
          <w:sz w:val="23"/>
          <w:szCs w:val="23"/>
        </w:rPr>
      </w:pPr>
    </w:p>
    <w:p w14:paraId="4E79B01D" w14:textId="77777777" w:rsidR="002033B0" w:rsidRDefault="00722FD6" w:rsidP="001A4CA1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However, I always suspect that this data doesn’t really tell the</w:t>
      </w:r>
      <w:r w:rsidR="00CD5D88">
        <w:rPr>
          <w:bCs/>
          <w:sz w:val="23"/>
          <w:szCs w:val="23"/>
        </w:rPr>
        <w:t xml:space="preserve"> </w:t>
      </w:r>
      <w:r w:rsidR="001C2A4E">
        <w:rPr>
          <w:bCs/>
          <w:sz w:val="23"/>
          <w:szCs w:val="23"/>
        </w:rPr>
        <w:t xml:space="preserve">full </w:t>
      </w:r>
      <w:r w:rsidR="00CD5D88">
        <w:rPr>
          <w:bCs/>
          <w:sz w:val="23"/>
          <w:szCs w:val="23"/>
        </w:rPr>
        <w:t>story given that in any three-y</w:t>
      </w:r>
      <w:r>
        <w:rPr>
          <w:bCs/>
          <w:sz w:val="23"/>
          <w:szCs w:val="23"/>
        </w:rPr>
        <w:t xml:space="preserve">ear period so much could happen.  </w:t>
      </w:r>
      <w:r w:rsidR="001C2A4E">
        <w:rPr>
          <w:bCs/>
          <w:sz w:val="23"/>
          <w:szCs w:val="23"/>
        </w:rPr>
        <w:t xml:space="preserve"> For example, d</w:t>
      </w:r>
      <w:r>
        <w:rPr>
          <w:bCs/>
          <w:sz w:val="23"/>
          <w:szCs w:val="23"/>
        </w:rPr>
        <w:t>oes</w:t>
      </w:r>
      <w:r w:rsidR="00CD5D88">
        <w:rPr>
          <w:bCs/>
          <w:sz w:val="23"/>
          <w:szCs w:val="23"/>
        </w:rPr>
        <w:t xml:space="preserve"> this data include </w:t>
      </w:r>
      <w:r>
        <w:rPr>
          <w:bCs/>
          <w:sz w:val="23"/>
          <w:szCs w:val="23"/>
        </w:rPr>
        <w:t>a 252 student</w:t>
      </w:r>
      <w:r w:rsidR="00CD5D88">
        <w:rPr>
          <w:bCs/>
          <w:sz w:val="23"/>
          <w:szCs w:val="23"/>
        </w:rPr>
        <w:t xml:space="preserve"> who </w:t>
      </w:r>
      <w:r>
        <w:rPr>
          <w:bCs/>
          <w:sz w:val="23"/>
          <w:szCs w:val="23"/>
        </w:rPr>
        <w:t>goes directly to Engl</w:t>
      </w:r>
      <w:r w:rsidR="00CD5D88">
        <w:rPr>
          <w:bCs/>
          <w:sz w:val="23"/>
          <w:szCs w:val="23"/>
        </w:rPr>
        <w:t>ish</w:t>
      </w:r>
      <w:r>
        <w:rPr>
          <w:bCs/>
          <w:sz w:val="23"/>
          <w:szCs w:val="23"/>
        </w:rPr>
        <w:t xml:space="preserve"> 1A</w:t>
      </w:r>
      <w:r w:rsidR="001C2A4E">
        <w:rPr>
          <w:bCs/>
          <w:sz w:val="23"/>
          <w:szCs w:val="23"/>
        </w:rPr>
        <w:t xml:space="preserve">? </w:t>
      </w:r>
      <w:r w:rsidR="002033B0">
        <w:rPr>
          <w:bCs/>
          <w:sz w:val="23"/>
          <w:szCs w:val="23"/>
        </w:rPr>
        <w:t xml:space="preserve"> </w:t>
      </w:r>
      <w:r w:rsidR="006E7C64">
        <w:rPr>
          <w:bCs/>
          <w:sz w:val="23"/>
          <w:szCs w:val="23"/>
        </w:rPr>
        <w:t>Moreover</w:t>
      </w:r>
      <w:r>
        <w:rPr>
          <w:bCs/>
          <w:sz w:val="23"/>
          <w:szCs w:val="23"/>
        </w:rPr>
        <w:t xml:space="preserve">, many </w:t>
      </w:r>
      <w:r w:rsidR="006E7C64">
        <w:rPr>
          <w:bCs/>
          <w:sz w:val="23"/>
          <w:szCs w:val="23"/>
        </w:rPr>
        <w:t>students</w:t>
      </w:r>
      <w:r>
        <w:rPr>
          <w:bCs/>
          <w:sz w:val="23"/>
          <w:szCs w:val="23"/>
        </w:rPr>
        <w:t xml:space="preserve"> end up </w:t>
      </w:r>
      <w:r w:rsidR="00CD5D88">
        <w:rPr>
          <w:bCs/>
          <w:sz w:val="23"/>
          <w:szCs w:val="23"/>
        </w:rPr>
        <w:t>earn</w:t>
      </w:r>
      <w:r>
        <w:rPr>
          <w:bCs/>
          <w:sz w:val="23"/>
          <w:szCs w:val="23"/>
        </w:rPr>
        <w:t xml:space="preserve">ing </w:t>
      </w:r>
      <w:r w:rsidR="006E7C64">
        <w:rPr>
          <w:bCs/>
          <w:sz w:val="23"/>
          <w:szCs w:val="23"/>
        </w:rPr>
        <w:t>certificates</w:t>
      </w:r>
      <w:r>
        <w:rPr>
          <w:bCs/>
          <w:sz w:val="23"/>
          <w:szCs w:val="23"/>
        </w:rPr>
        <w:t xml:space="preserve"> </w:t>
      </w:r>
      <w:r w:rsidR="00CD5D88">
        <w:rPr>
          <w:bCs/>
          <w:sz w:val="23"/>
          <w:szCs w:val="23"/>
        </w:rPr>
        <w:t xml:space="preserve">that </w:t>
      </w:r>
      <w:r w:rsidR="006E7C64">
        <w:rPr>
          <w:bCs/>
          <w:sz w:val="23"/>
          <w:szCs w:val="23"/>
        </w:rPr>
        <w:t>do</w:t>
      </w:r>
      <w:r>
        <w:rPr>
          <w:bCs/>
          <w:sz w:val="23"/>
          <w:szCs w:val="23"/>
        </w:rPr>
        <w:t xml:space="preserve"> not require the transfer </w:t>
      </w:r>
      <w:r w:rsidR="00CD5D88">
        <w:rPr>
          <w:bCs/>
          <w:sz w:val="23"/>
          <w:szCs w:val="23"/>
        </w:rPr>
        <w:t xml:space="preserve">English </w:t>
      </w:r>
      <w:r>
        <w:rPr>
          <w:bCs/>
          <w:sz w:val="23"/>
          <w:szCs w:val="23"/>
        </w:rPr>
        <w:t>course at all.   Or they move to one of our sister colleges to complet</w:t>
      </w:r>
      <w:r w:rsidR="006E7C64">
        <w:rPr>
          <w:bCs/>
          <w:sz w:val="23"/>
          <w:szCs w:val="23"/>
        </w:rPr>
        <w:t>e</w:t>
      </w:r>
      <w:r>
        <w:rPr>
          <w:bCs/>
          <w:sz w:val="23"/>
          <w:szCs w:val="23"/>
        </w:rPr>
        <w:t xml:space="preserve"> other </w:t>
      </w:r>
      <w:r w:rsidR="006E7C64">
        <w:rPr>
          <w:bCs/>
          <w:sz w:val="23"/>
          <w:szCs w:val="23"/>
        </w:rPr>
        <w:t>tra</w:t>
      </w:r>
      <w:r>
        <w:rPr>
          <w:bCs/>
          <w:sz w:val="23"/>
          <w:szCs w:val="23"/>
        </w:rPr>
        <w:t xml:space="preserve">nsfer </w:t>
      </w:r>
      <w:r w:rsidR="006E7C64">
        <w:rPr>
          <w:bCs/>
          <w:sz w:val="23"/>
          <w:szCs w:val="23"/>
        </w:rPr>
        <w:t>requirements</w:t>
      </w:r>
      <w:r>
        <w:rPr>
          <w:bCs/>
          <w:sz w:val="23"/>
          <w:szCs w:val="23"/>
        </w:rPr>
        <w:t xml:space="preserve"> and</w:t>
      </w:r>
      <w:r w:rsidR="002033B0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thus</w:t>
      </w:r>
      <w:r w:rsidR="002033B0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are not cou</w:t>
      </w:r>
      <w:r w:rsidR="001C2A4E">
        <w:rPr>
          <w:bCs/>
          <w:sz w:val="23"/>
          <w:szCs w:val="23"/>
        </w:rPr>
        <w:t xml:space="preserve">nted as a success for Merritt. In short, there are a number of </w:t>
      </w:r>
      <w:r>
        <w:rPr>
          <w:bCs/>
          <w:sz w:val="23"/>
          <w:szCs w:val="23"/>
        </w:rPr>
        <w:t>contingencies</w:t>
      </w:r>
      <w:r w:rsidR="001C2A4E">
        <w:rPr>
          <w:bCs/>
          <w:sz w:val="23"/>
          <w:szCs w:val="23"/>
        </w:rPr>
        <w:t xml:space="preserve"> </w:t>
      </w:r>
      <w:r w:rsidR="00456FE7">
        <w:rPr>
          <w:bCs/>
          <w:sz w:val="23"/>
          <w:szCs w:val="23"/>
        </w:rPr>
        <w:t xml:space="preserve">that complicate the drawing of </w:t>
      </w:r>
      <w:r w:rsidR="001C2A4E">
        <w:rPr>
          <w:bCs/>
          <w:sz w:val="23"/>
          <w:szCs w:val="23"/>
        </w:rPr>
        <w:t xml:space="preserve">clear conclusions and </w:t>
      </w:r>
      <w:r w:rsidR="002033B0">
        <w:rPr>
          <w:bCs/>
          <w:sz w:val="23"/>
          <w:szCs w:val="23"/>
        </w:rPr>
        <w:t xml:space="preserve"> the </w:t>
      </w:r>
      <w:r w:rsidR="001C2A4E">
        <w:rPr>
          <w:bCs/>
          <w:sz w:val="23"/>
          <w:szCs w:val="23"/>
        </w:rPr>
        <w:t>mak</w:t>
      </w:r>
      <w:r w:rsidR="002033B0">
        <w:rPr>
          <w:bCs/>
          <w:sz w:val="23"/>
          <w:szCs w:val="23"/>
        </w:rPr>
        <w:t xml:space="preserve">ing of </w:t>
      </w:r>
      <w:r w:rsidR="001C2A4E">
        <w:rPr>
          <w:bCs/>
          <w:sz w:val="23"/>
          <w:szCs w:val="23"/>
        </w:rPr>
        <w:t xml:space="preserve"> firm recommendations for further actions. </w:t>
      </w:r>
    </w:p>
    <w:p w14:paraId="2D6615A3" w14:textId="77777777" w:rsidR="001A4CA1" w:rsidRPr="00722FD6" w:rsidRDefault="00CD5D88" w:rsidP="001A4CA1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It may be </w:t>
      </w:r>
      <w:r w:rsidR="00722FD6">
        <w:rPr>
          <w:bCs/>
          <w:sz w:val="23"/>
          <w:szCs w:val="23"/>
        </w:rPr>
        <w:t>more meaningful to look</w:t>
      </w:r>
      <w:r w:rsidR="006E7C64">
        <w:rPr>
          <w:bCs/>
          <w:sz w:val="23"/>
          <w:szCs w:val="23"/>
        </w:rPr>
        <w:t xml:space="preserve"> </w:t>
      </w:r>
      <w:r w:rsidR="00722FD6">
        <w:rPr>
          <w:bCs/>
          <w:sz w:val="23"/>
          <w:szCs w:val="23"/>
        </w:rPr>
        <w:t xml:space="preserve">at </w:t>
      </w:r>
      <w:r w:rsidR="006E7C64">
        <w:rPr>
          <w:bCs/>
          <w:sz w:val="23"/>
          <w:szCs w:val="23"/>
        </w:rPr>
        <w:t>students</w:t>
      </w:r>
      <w:r w:rsidR="00722FD6">
        <w:rPr>
          <w:bCs/>
          <w:sz w:val="23"/>
          <w:szCs w:val="23"/>
        </w:rPr>
        <w:t xml:space="preserve"> who start four </w:t>
      </w:r>
      <w:r>
        <w:rPr>
          <w:bCs/>
          <w:sz w:val="23"/>
          <w:szCs w:val="23"/>
        </w:rPr>
        <w:t>lev</w:t>
      </w:r>
      <w:r w:rsidR="00722FD6">
        <w:rPr>
          <w:bCs/>
          <w:sz w:val="23"/>
          <w:szCs w:val="23"/>
        </w:rPr>
        <w:t>el</w:t>
      </w:r>
      <w:r>
        <w:rPr>
          <w:bCs/>
          <w:sz w:val="23"/>
          <w:szCs w:val="23"/>
        </w:rPr>
        <w:t>s</w:t>
      </w:r>
      <w:r w:rsidR="00722FD6">
        <w:rPr>
          <w:bCs/>
          <w:sz w:val="23"/>
          <w:szCs w:val="23"/>
        </w:rPr>
        <w:t xml:space="preserve"> before transfer and what they do accomplish.  The majority of Merritt’s stud</w:t>
      </w:r>
      <w:r w:rsidR="0008107E">
        <w:rPr>
          <w:bCs/>
          <w:sz w:val="23"/>
          <w:szCs w:val="23"/>
        </w:rPr>
        <w:t>e</w:t>
      </w:r>
      <w:r w:rsidR="00722FD6">
        <w:rPr>
          <w:bCs/>
          <w:sz w:val="23"/>
          <w:szCs w:val="23"/>
        </w:rPr>
        <w:t>n</w:t>
      </w:r>
      <w:r w:rsidR="0008107E">
        <w:rPr>
          <w:bCs/>
          <w:sz w:val="23"/>
          <w:szCs w:val="23"/>
        </w:rPr>
        <w:t>t</w:t>
      </w:r>
      <w:r w:rsidR="00722FD6">
        <w:rPr>
          <w:bCs/>
          <w:sz w:val="23"/>
          <w:szCs w:val="23"/>
        </w:rPr>
        <w:t>s</w:t>
      </w:r>
      <w:r w:rsidR="0008107E">
        <w:rPr>
          <w:bCs/>
          <w:sz w:val="23"/>
          <w:szCs w:val="23"/>
        </w:rPr>
        <w:t xml:space="preserve"> (</w:t>
      </w:r>
      <w:r w:rsidR="00456FE7">
        <w:rPr>
          <w:bCs/>
          <w:sz w:val="23"/>
          <w:szCs w:val="23"/>
        </w:rPr>
        <w:t>86.6</w:t>
      </w:r>
      <w:r w:rsidR="0008107E">
        <w:rPr>
          <w:bCs/>
          <w:sz w:val="23"/>
          <w:szCs w:val="23"/>
        </w:rPr>
        <w:t>%</w:t>
      </w:r>
      <w:r w:rsidR="00456FE7">
        <w:rPr>
          <w:bCs/>
          <w:sz w:val="23"/>
          <w:szCs w:val="23"/>
        </w:rPr>
        <w:t xml:space="preserve"> fall 13</w:t>
      </w:r>
      <w:r w:rsidR="0008107E">
        <w:rPr>
          <w:bCs/>
          <w:sz w:val="23"/>
          <w:szCs w:val="23"/>
        </w:rPr>
        <w:t xml:space="preserve">) </w:t>
      </w:r>
      <w:r w:rsidR="00722FD6">
        <w:rPr>
          <w:bCs/>
          <w:sz w:val="23"/>
          <w:szCs w:val="23"/>
        </w:rPr>
        <w:t>are part</w:t>
      </w:r>
      <w:r w:rsidR="0008107E">
        <w:rPr>
          <w:bCs/>
          <w:sz w:val="23"/>
          <w:szCs w:val="23"/>
        </w:rPr>
        <w:t xml:space="preserve"> ti</w:t>
      </w:r>
      <w:r w:rsidR="00722FD6">
        <w:rPr>
          <w:bCs/>
          <w:sz w:val="23"/>
          <w:szCs w:val="23"/>
        </w:rPr>
        <w:t>me and a three</w:t>
      </w:r>
      <w:r>
        <w:rPr>
          <w:bCs/>
          <w:sz w:val="23"/>
          <w:szCs w:val="23"/>
        </w:rPr>
        <w:t>-</w:t>
      </w:r>
      <w:r w:rsidR="00722FD6">
        <w:rPr>
          <w:bCs/>
          <w:sz w:val="23"/>
          <w:szCs w:val="23"/>
        </w:rPr>
        <w:t xml:space="preserve">year period might not </w:t>
      </w:r>
      <w:r w:rsidR="0008107E">
        <w:rPr>
          <w:bCs/>
          <w:sz w:val="23"/>
          <w:szCs w:val="23"/>
        </w:rPr>
        <w:t>be enough time to tell the</w:t>
      </w:r>
      <w:r w:rsidR="00456FE7">
        <w:rPr>
          <w:bCs/>
          <w:sz w:val="23"/>
          <w:szCs w:val="23"/>
        </w:rPr>
        <w:t>ir</w:t>
      </w:r>
      <w:r w:rsidR="0008107E">
        <w:rPr>
          <w:bCs/>
          <w:sz w:val="23"/>
          <w:szCs w:val="23"/>
        </w:rPr>
        <w:t xml:space="preserve"> whole story</w:t>
      </w:r>
      <w:r w:rsidR="00456FE7">
        <w:rPr>
          <w:bCs/>
          <w:sz w:val="23"/>
          <w:szCs w:val="23"/>
        </w:rPr>
        <w:t xml:space="preserve">. </w:t>
      </w:r>
    </w:p>
    <w:p w14:paraId="4058E488" w14:textId="77777777" w:rsidR="001A4CA1" w:rsidRDefault="001A4CA1" w:rsidP="001A4CA1">
      <w:pPr>
        <w:pStyle w:val="Default"/>
        <w:rPr>
          <w:b/>
          <w:bCs/>
          <w:sz w:val="23"/>
          <w:szCs w:val="23"/>
        </w:rPr>
      </w:pPr>
    </w:p>
    <w:p w14:paraId="2D4418D6" w14:textId="77777777" w:rsidR="00AE75F3" w:rsidRDefault="001C2A4E" w:rsidP="00AE75F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If the cohort </w:t>
      </w:r>
      <w:r w:rsidR="00456FE7">
        <w:rPr>
          <w:bCs/>
          <w:sz w:val="23"/>
          <w:szCs w:val="23"/>
        </w:rPr>
        <w:t xml:space="preserve">is </w:t>
      </w:r>
      <w:r>
        <w:rPr>
          <w:bCs/>
          <w:sz w:val="23"/>
          <w:szCs w:val="23"/>
        </w:rPr>
        <w:t>extend</w:t>
      </w:r>
      <w:r w:rsidR="00456FE7">
        <w:rPr>
          <w:bCs/>
          <w:sz w:val="23"/>
          <w:szCs w:val="23"/>
        </w:rPr>
        <w:t>ed</w:t>
      </w:r>
      <w:r>
        <w:rPr>
          <w:bCs/>
          <w:sz w:val="23"/>
          <w:szCs w:val="23"/>
        </w:rPr>
        <w:t xml:space="preserve"> </w:t>
      </w:r>
      <w:r w:rsidR="00847265" w:rsidRPr="00847265">
        <w:rPr>
          <w:bCs/>
          <w:sz w:val="23"/>
          <w:szCs w:val="23"/>
        </w:rPr>
        <w:t xml:space="preserve">from </w:t>
      </w:r>
      <w:r>
        <w:rPr>
          <w:bCs/>
          <w:sz w:val="23"/>
          <w:szCs w:val="23"/>
        </w:rPr>
        <w:t>F</w:t>
      </w:r>
      <w:r w:rsidR="004567D5">
        <w:rPr>
          <w:bCs/>
          <w:sz w:val="23"/>
          <w:szCs w:val="23"/>
        </w:rPr>
        <w:t xml:space="preserve">all 09 to Spring 14, </w:t>
      </w:r>
      <w:r w:rsidR="00847265" w:rsidRPr="00847265">
        <w:rPr>
          <w:bCs/>
          <w:sz w:val="23"/>
          <w:szCs w:val="23"/>
        </w:rPr>
        <w:t xml:space="preserve">the </w:t>
      </w:r>
      <w:r>
        <w:rPr>
          <w:bCs/>
          <w:sz w:val="23"/>
          <w:szCs w:val="23"/>
        </w:rPr>
        <w:t xml:space="preserve"> “</w:t>
      </w:r>
      <w:r w:rsidR="00847265" w:rsidRPr="00847265">
        <w:rPr>
          <w:bCs/>
          <w:sz w:val="23"/>
          <w:szCs w:val="23"/>
        </w:rPr>
        <w:t>through rate</w:t>
      </w:r>
      <w:r>
        <w:rPr>
          <w:bCs/>
          <w:sz w:val="23"/>
          <w:szCs w:val="23"/>
        </w:rPr>
        <w:t>”</w:t>
      </w:r>
      <w:r w:rsidR="00847265" w:rsidRPr="00847265">
        <w:rPr>
          <w:bCs/>
          <w:sz w:val="23"/>
          <w:szCs w:val="23"/>
        </w:rPr>
        <w:t xml:space="preserve"> increase</w:t>
      </w:r>
      <w:r w:rsidR="007F13B3">
        <w:rPr>
          <w:bCs/>
          <w:sz w:val="23"/>
          <w:szCs w:val="23"/>
        </w:rPr>
        <w:t>s</w:t>
      </w:r>
      <w:r w:rsidR="00847265" w:rsidRPr="00847265">
        <w:rPr>
          <w:bCs/>
          <w:sz w:val="23"/>
          <w:szCs w:val="23"/>
        </w:rPr>
        <w:t xml:space="preserve">  </w:t>
      </w:r>
      <w:r w:rsidR="0008107E">
        <w:rPr>
          <w:bCs/>
          <w:sz w:val="23"/>
          <w:szCs w:val="23"/>
        </w:rPr>
        <w:t>6</w:t>
      </w:r>
      <w:r w:rsidR="00847265" w:rsidRPr="00847265">
        <w:rPr>
          <w:bCs/>
          <w:sz w:val="23"/>
          <w:szCs w:val="23"/>
        </w:rPr>
        <w:t xml:space="preserve">%  to 19%  or almost twice as </w:t>
      </w:r>
      <w:r w:rsidR="007F13B3">
        <w:rPr>
          <w:bCs/>
          <w:sz w:val="23"/>
          <w:szCs w:val="23"/>
        </w:rPr>
        <w:t>many student</w:t>
      </w:r>
      <w:r>
        <w:rPr>
          <w:bCs/>
          <w:sz w:val="23"/>
          <w:szCs w:val="23"/>
        </w:rPr>
        <w:t>s</w:t>
      </w:r>
      <w:r w:rsidR="00456FE7">
        <w:rPr>
          <w:bCs/>
          <w:sz w:val="23"/>
          <w:szCs w:val="23"/>
        </w:rPr>
        <w:t xml:space="preserve"> completed </w:t>
      </w:r>
      <w:r w:rsidR="007F13B3">
        <w:rPr>
          <w:bCs/>
          <w:sz w:val="23"/>
          <w:szCs w:val="23"/>
        </w:rPr>
        <w:t xml:space="preserve"> tr</w:t>
      </w:r>
      <w:r>
        <w:rPr>
          <w:bCs/>
          <w:sz w:val="23"/>
          <w:szCs w:val="23"/>
        </w:rPr>
        <w:t>a</w:t>
      </w:r>
      <w:r w:rsidR="007F13B3">
        <w:rPr>
          <w:bCs/>
          <w:sz w:val="23"/>
          <w:szCs w:val="23"/>
        </w:rPr>
        <w:t>nsfer</w:t>
      </w:r>
      <w:r w:rsidR="00847265" w:rsidRPr="00847265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English </w:t>
      </w:r>
      <w:r w:rsidR="00847265" w:rsidRPr="00847265">
        <w:rPr>
          <w:bCs/>
          <w:sz w:val="23"/>
          <w:szCs w:val="23"/>
        </w:rPr>
        <w:t xml:space="preserve">as </w:t>
      </w:r>
      <w:r>
        <w:rPr>
          <w:bCs/>
          <w:sz w:val="23"/>
          <w:szCs w:val="23"/>
        </w:rPr>
        <w:t xml:space="preserve"> those who completed in </w:t>
      </w:r>
      <w:r w:rsidR="00847265" w:rsidRPr="00847265">
        <w:rPr>
          <w:bCs/>
          <w:sz w:val="23"/>
          <w:szCs w:val="23"/>
        </w:rPr>
        <w:t xml:space="preserve"> the Fall </w:t>
      </w:r>
      <w:r>
        <w:rPr>
          <w:bCs/>
          <w:sz w:val="23"/>
          <w:szCs w:val="23"/>
        </w:rPr>
        <w:t>11</w:t>
      </w:r>
      <w:r w:rsidR="00847265" w:rsidRPr="00847265">
        <w:rPr>
          <w:bCs/>
          <w:sz w:val="23"/>
          <w:szCs w:val="23"/>
        </w:rPr>
        <w:t xml:space="preserve"> to Spring 1</w:t>
      </w:r>
      <w:r>
        <w:rPr>
          <w:bCs/>
          <w:sz w:val="23"/>
          <w:szCs w:val="23"/>
        </w:rPr>
        <w:t>3</w:t>
      </w:r>
      <w:r w:rsidR="00847265">
        <w:rPr>
          <w:bCs/>
          <w:sz w:val="23"/>
          <w:szCs w:val="23"/>
        </w:rPr>
        <w:t xml:space="preserve"> cohort (1</w:t>
      </w:r>
      <w:r>
        <w:rPr>
          <w:bCs/>
          <w:sz w:val="23"/>
          <w:szCs w:val="23"/>
        </w:rPr>
        <w:t>3</w:t>
      </w:r>
      <w:r w:rsidR="00847265">
        <w:rPr>
          <w:bCs/>
          <w:sz w:val="23"/>
          <w:szCs w:val="23"/>
        </w:rPr>
        <w:t xml:space="preserve">%). </w:t>
      </w:r>
      <w:r w:rsidR="00456FE7">
        <w:rPr>
          <w:bCs/>
          <w:sz w:val="23"/>
          <w:szCs w:val="23"/>
        </w:rPr>
        <w:t xml:space="preserve">  This is a significant difference. </w:t>
      </w:r>
    </w:p>
    <w:p w14:paraId="2879A502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5DBBFA58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0F7FD9CA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36D2C95D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4F83CA5A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0DF6C92C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4F9054BB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6F0F692A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3D426B4A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381AD99D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791B2CCE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2292D3B3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75D02D0D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4E5D404F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6A7908D0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405405E7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72734FCC" w14:textId="77777777" w:rsidR="00AE75F3" w:rsidRDefault="00AE75F3" w:rsidP="00AE75F3">
      <w:pPr>
        <w:pStyle w:val="Default"/>
        <w:rPr>
          <w:bCs/>
          <w:sz w:val="23"/>
          <w:szCs w:val="23"/>
        </w:rPr>
      </w:pPr>
    </w:p>
    <w:p w14:paraId="4CC93FFE" w14:textId="77777777" w:rsidR="002033B0" w:rsidRPr="00AE75F3" w:rsidRDefault="002033B0" w:rsidP="00AE75F3">
      <w:pPr>
        <w:pStyle w:val="Default"/>
        <w:rPr>
          <w:bCs/>
          <w:sz w:val="23"/>
          <w:szCs w:val="23"/>
        </w:rPr>
      </w:pPr>
      <w:r>
        <w:t>Mathematics:</w:t>
      </w:r>
    </w:p>
    <w:p w14:paraId="5FA8C8EA" w14:textId="77777777" w:rsidR="002033B0" w:rsidRDefault="002033B0" w:rsidP="002033B0">
      <w:r>
        <w:t>The tables below show the success rates for Math 253 and Math 201, three levels below and two levels below transfer level, respectively.</w:t>
      </w: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125"/>
        <w:gridCol w:w="1079"/>
        <w:gridCol w:w="963"/>
        <w:gridCol w:w="662"/>
        <w:gridCol w:w="960"/>
        <w:gridCol w:w="1176"/>
        <w:gridCol w:w="1114"/>
        <w:gridCol w:w="970"/>
        <w:gridCol w:w="691"/>
      </w:tblGrid>
      <w:tr w:rsidR="002033B0" w:rsidRPr="00C32344" w14:paraId="697D976D" w14:textId="77777777">
        <w:trPr>
          <w:trHeight w:val="3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0AA72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b/>
                <w:color w:val="000000"/>
              </w:rPr>
              <w:t>Math 253 - Success Rates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7D7C5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D59D0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51B6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b/>
                <w:color w:val="000000"/>
              </w:rPr>
              <w:t>Math 201 - Success Rates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A8217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033B0" w:rsidRPr="00C32344" w14:paraId="3DF4FF09" w14:textId="77777777">
        <w:trPr>
          <w:trHeight w:val="31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72018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F6FD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DF936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7A64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1CC8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EDEF4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BF642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2FD9F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886B7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033B0" w:rsidRPr="00C32344" w14:paraId="3C3B0125" w14:textId="77777777">
        <w:trPr>
          <w:trHeight w:val="31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CD1D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11D15D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99B221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Success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53718E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83F0F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8008F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9A4D2F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8FD8BF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Success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AD49B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Rate</w:t>
            </w:r>
          </w:p>
        </w:tc>
      </w:tr>
      <w:tr w:rsidR="002033B0" w:rsidRPr="00C32344" w14:paraId="26C8879D" w14:textId="77777777">
        <w:trPr>
          <w:trHeight w:val="30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7C32E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Fall 09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79447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3617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280970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EFBE8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2D48A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Fall 09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08322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37063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B7947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58%</w:t>
            </w:r>
          </w:p>
        </w:tc>
      </w:tr>
      <w:tr w:rsidR="002033B0" w:rsidRPr="00C32344" w14:paraId="13131BED" w14:textId="77777777">
        <w:trPr>
          <w:trHeight w:val="30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75E4F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Spring 10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9F975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3C19D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78226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8A4AD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5585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Spring 10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78C88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7269B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0E30C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47%</w:t>
            </w:r>
          </w:p>
        </w:tc>
      </w:tr>
      <w:tr w:rsidR="002033B0" w:rsidRPr="00C32344" w14:paraId="0BB19C06" w14:textId="77777777">
        <w:trPr>
          <w:trHeight w:val="30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32165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Fall 10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518C6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45226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05D0F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FFD0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88FAD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Fall 10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CB3C5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50D4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E9AB2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44%</w:t>
            </w:r>
          </w:p>
        </w:tc>
      </w:tr>
      <w:tr w:rsidR="002033B0" w:rsidRPr="00C32344" w14:paraId="1A5C83F4" w14:textId="77777777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BB414F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Spring 11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C55735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AF4820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6EAC1F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62%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DF974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E7A8F7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Spring 11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49CCB1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3E8EA5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342F6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52%</w:t>
            </w:r>
          </w:p>
        </w:tc>
      </w:tr>
      <w:tr w:rsidR="002033B0" w:rsidRPr="00C32344" w14:paraId="37C202F6" w14:textId="77777777">
        <w:trPr>
          <w:trHeight w:val="30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DE09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Fall 11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8FA88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FDF2B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12B19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F1394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F0920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Fall 11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1447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CA0D0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522E2B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41%</w:t>
            </w:r>
          </w:p>
        </w:tc>
      </w:tr>
      <w:tr w:rsidR="002033B0" w:rsidRPr="00C32344" w14:paraId="73121D43" w14:textId="77777777">
        <w:trPr>
          <w:trHeight w:val="30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85AF4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Spring 12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61656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B6F5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ECD6A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B3174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4EFBB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Spring 12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DA270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83CB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5EC2B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37%</w:t>
            </w:r>
          </w:p>
        </w:tc>
      </w:tr>
      <w:tr w:rsidR="002033B0" w:rsidRPr="00C32344" w14:paraId="1F34BF06" w14:textId="77777777">
        <w:trPr>
          <w:trHeight w:val="30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85E8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Fall 12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2E4C8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F9BC9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81A4E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5E338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E715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Fall 12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007B1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3DCD5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B8E74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2033B0" w:rsidRPr="00C32344" w14:paraId="2748C5AA" w14:textId="77777777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5911C93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Spring 13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02139C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B72A34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DAE157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36EEA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C2FC93" w14:textId="77777777" w:rsidR="002033B0" w:rsidRPr="00C32344" w:rsidRDefault="002033B0" w:rsidP="002033B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Spring 13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6046BB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78637AA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27CC0" w14:textId="77777777" w:rsidR="002033B0" w:rsidRPr="00C32344" w:rsidRDefault="002033B0" w:rsidP="002033B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2344">
              <w:rPr>
                <w:rFonts w:ascii="Calibri" w:eastAsia="Times New Roman" w:hAnsi="Calibri" w:cs="Times New Roman"/>
                <w:color w:val="000000"/>
              </w:rPr>
              <w:t>47%</w:t>
            </w:r>
          </w:p>
        </w:tc>
      </w:tr>
    </w:tbl>
    <w:p w14:paraId="2DD3E499" w14:textId="77777777" w:rsidR="002033B0" w:rsidRPr="002033B0" w:rsidRDefault="002033B0" w:rsidP="002033B0">
      <w:r>
        <w:t>This data does not support that the basic skills program was more successful in 2011-13 than it was in 2009-2011</w:t>
      </w:r>
    </w:p>
    <w:p w14:paraId="34F59341" w14:textId="77777777" w:rsidR="001D3F60" w:rsidRDefault="0008107E" w:rsidP="001A4CA1">
      <w:pPr>
        <w:pStyle w:val="Default"/>
        <w:rPr>
          <w:bCs/>
          <w:sz w:val="23"/>
          <w:szCs w:val="23"/>
        </w:rPr>
      </w:pPr>
      <w:r w:rsidRPr="0008107E">
        <w:rPr>
          <w:bCs/>
          <w:sz w:val="23"/>
          <w:szCs w:val="23"/>
        </w:rPr>
        <w:t xml:space="preserve">Another story is the one told by longitudinal data from </w:t>
      </w:r>
      <w:r w:rsidR="004A62B1">
        <w:rPr>
          <w:bCs/>
          <w:sz w:val="23"/>
          <w:szCs w:val="23"/>
        </w:rPr>
        <w:t>T</w:t>
      </w:r>
      <w:r w:rsidRPr="0008107E">
        <w:rPr>
          <w:bCs/>
          <w:sz w:val="23"/>
          <w:szCs w:val="23"/>
        </w:rPr>
        <w:t xml:space="preserve">itle III </w:t>
      </w:r>
      <w:r w:rsidR="004A62B1">
        <w:rPr>
          <w:bCs/>
          <w:sz w:val="23"/>
          <w:szCs w:val="23"/>
        </w:rPr>
        <w:t>R</w:t>
      </w:r>
      <w:r w:rsidR="001C2A4E">
        <w:rPr>
          <w:bCs/>
          <w:sz w:val="23"/>
          <w:szCs w:val="23"/>
        </w:rPr>
        <w:t>eport</w:t>
      </w:r>
      <w:r w:rsidRPr="0008107E">
        <w:rPr>
          <w:bCs/>
          <w:sz w:val="23"/>
          <w:szCs w:val="23"/>
        </w:rPr>
        <w:t xml:space="preserve">.   </w:t>
      </w:r>
      <w:r>
        <w:rPr>
          <w:bCs/>
          <w:sz w:val="23"/>
          <w:szCs w:val="23"/>
        </w:rPr>
        <w:t>W</w:t>
      </w:r>
      <w:r w:rsidRPr="0008107E">
        <w:rPr>
          <w:bCs/>
          <w:sz w:val="23"/>
          <w:szCs w:val="23"/>
        </w:rPr>
        <w:t xml:space="preserve">hile these </w:t>
      </w:r>
      <w:r>
        <w:rPr>
          <w:bCs/>
          <w:sz w:val="23"/>
          <w:szCs w:val="23"/>
        </w:rPr>
        <w:t>success rates for all basic skills and English</w:t>
      </w:r>
      <w:r w:rsidR="003675E5">
        <w:rPr>
          <w:bCs/>
          <w:sz w:val="23"/>
          <w:szCs w:val="23"/>
        </w:rPr>
        <w:t xml:space="preserve"> and </w:t>
      </w:r>
      <w:r>
        <w:rPr>
          <w:bCs/>
          <w:sz w:val="23"/>
          <w:szCs w:val="23"/>
        </w:rPr>
        <w:t xml:space="preserve"> math classes </w:t>
      </w:r>
      <w:r w:rsidRPr="0008107E">
        <w:rPr>
          <w:bCs/>
          <w:sz w:val="23"/>
          <w:szCs w:val="23"/>
        </w:rPr>
        <w:t>are not astounding</w:t>
      </w:r>
      <w:r>
        <w:rPr>
          <w:bCs/>
          <w:sz w:val="23"/>
          <w:szCs w:val="23"/>
        </w:rPr>
        <w:t>, they do indicate we are not losin</w:t>
      </w:r>
      <w:r w:rsidR="007F13B3">
        <w:rPr>
          <w:bCs/>
          <w:sz w:val="23"/>
          <w:szCs w:val="23"/>
        </w:rPr>
        <w:t>g</w:t>
      </w:r>
      <w:r>
        <w:rPr>
          <w:bCs/>
          <w:sz w:val="23"/>
          <w:szCs w:val="23"/>
        </w:rPr>
        <w:t xml:space="preserve"> ground,</w:t>
      </w:r>
      <w:r w:rsidR="001C2A4E">
        <w:rPr>
          <w:bCs/>
          <w:sz w:val="23"/>
          <w:szCs w:val="23"/>
        </w:rPr>
        <w:t xml:space="preserve"> </w:t>
      </w:r>
      <w:r w:rsidR="007F13B3">
        <w:rPr>
          <w:bCs/>
          <w:sz w:val="23"/>
          <w:szCs w:val="23"/>
        </w:rPr>
        <w:t>while at the same time our DSP</w:t>
      </w:r>
      <w:r>
        <w:rPr>
          <w:bCs/>
          <w:sz w:val="23"/>
          <w:szCs w:val="23"/>
        </w:rPr>
        <w:t xml:space="preserve"> population </w:t>
      </w:r>
      <w:r w:rsidR="007F13B3">
        <w:rPr>
          <w:bCs/>
          <w:sz w:val="23"/>
          <w:szCs w:val="23"/>
        </w:rPr>
        <w:t>h</w:t>
      </w:r>
      <w:r>
        <w:rPr>
          <w:bCs/>
          <w:sz w:val="23"/>
          <w:szCs w:val="23"/>
        </w:rPr>
        <w:t xml:space="preserve">as increased  </w:t>
      </w:r>
      <w:r w:rsidRPr="0008107E">
        <w:rPr>
          <w:bCs/>
          <w:sz w:val="23"/>
          <w:szCs w:val="23"/>
        </w:rPr>
        <w:t xml:space="preserve"> </w:t>
      </w:r>
      <w:r w:rsidR="001A4CA1" w:rsidRPr="0008107E">
        <w:rPr>
          <w:bCs/>
          <w:sz w:val="23"/>
          <w:szCs w:val="23"/>
        </w:rPr>
        <w:t>(</w:t>
      </w:r>
      <w:r w:rsidR="008F764A">
        <w:rPr>
          <w:bCs/>
          <w:sz w:val="23"/>
          <w:szCs w:val="23"/>
        </w:rPr>
        <w:t>T</w:t>
      </w:r>
      <w:r w:rsidR="001A4CA1" w:rsidRPr="0008107E">
        <w:rPr>
          <w:bCs/>
          <w:sz w:val="23"/>
          <w:szCs w:val="23"/>
        </w:rPr>
        <w:t>itle III Report 12/16</w:t>
      </w:r>
      <w:r>
        <w:rPr>
          <w:bCs/>
          <w:sz w:val="23"/>
          <w:szCs w:val="23"/>
        </w:rPr>
        <w:t>/</w:t>
      </w:r>
      <w:r w:rsidR="001A4CA1" w:rsidRPr="0008107E">
        <w:rPr>
          <w:bCs/>
          <w:sz w:val="23"/>
          <w:szCs w:val="23"/>
        </w:rPr>
        <w:t xml:space="preserve">13) </w:t>
      </w:r>
    </w:p>
    <w:p w14:paraId="4C1EFE01" w14:textId="77777777" w:rsidR="001A4CA1" w:rsidRDefault="001A4CA1" w:rsidP="001A4CA1">
      <w:pPr>
        <w:pStyle w:val="Default"/>
        <w:rPr>
          <w:b/>
          <w:bCs/>
          <w:sz w:val="23"/>
          <w:szCs w:val="23"/>
        </w:rPr>
      </w:pPr>
    </w:p>
    <w:p w14:paraId="5C033A96" w14:textId="77777777" w:rsidR="001A4CA1" w:rsidRDefault="001A4CA1" w:rsidP="001A4C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1.1.7: Basic skills successful course completion: Decrease the percentage of basic skills students who do not successfully complete basic skills courses from 62 percent to 57 percent. </w:t>
      </w:r>
    </w:p>
    <w:p w14:paraId="02EB7E9D" w14:textId="77777777" w:rsidR="001A4CA1" w:rsidRDefault="001A4CA1" w:rsidP="001A4CA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3"/>
          <w:szCs w:val="23"/>
        </w:rPr>
        <w:t xml:space="preserve">Year 1: </w:t>
      </w:r>
      <w:r>
        <w:rPr>
          <w:i/>
          <w:iCs/>
          <w:sz w:val="23"/>
          <w:szCs w:val="23"/>
        </w:rPr>
        <w:t xml:space="preserve">Objective for 2013 was met: </w:t>
      </w:r>
      <w:r>
        <w:rPr>
          <w:sz w:val="23"/>
          <w:szCs w:val="23"/>
        </w:rPr>
        <w:t xml:space="preserve">44 percent of basic skills students did not successfully complete their courses. (56 percent of basic skills students received an A, B, C, or credit in their courses.) </w:t>
      </w:r>
    </w:p>
    <w:p w14:paraId="1F64F2A7" w14:textId="77777777" w:rsidR="001A4CA1" w:rsidRDefault="001A4CA1" w:rsidP="001A4CA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3"/>
          <w:szCs w:val="23"/>
        </w:rPr>
        <w:t xml:space="preserve">Year 2: </w:t>
      </w:r>
      <w:r>
        <w:rPr>
          <w:i/>
          <w:iCs/>
          <w:sz w:val="23"/>
          <w:szCs w:val="23"/>
        </w:rPr>
        <w:t xml:space="preserve">Objective for 2013 was met: </w:t>
      </w:r>
      <w:r>
        <w:rPr>
          <w:sz w:val="23"/>
          <w:szCs w:val="23"/>
        </w:rPr>
        <w:t xml:space="preserve">Again, 44 percent of basic skills students did not successfully complete their courses. (56 percent of basic skills students received an A, B, C, or credit in their courses.) </w:t>
      </w:r>
    </w:p>
    <w:p w14:paraId="7EBDAB30" w14:textId="77777777" w:rsidR="001A4CA1" w:rsidRDefault="001A4CA1" w:rsidP="001A4CA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3"/>
          <w:szCs w:val="23"/>
        </w:rPr>
        <w:t xml:space="preserve">Year 3: </w:t>
      </w:r>
      <w:r>
        <w:rPr>
          <w:i/>
          <w:iCs/>
          <w:sz w:val="23"/>
          <w:szCs w:val="23"/>
        </w:rPr>
        <w:t xml:space="preserve">Objective for 2013 was met: </w:t>
      </w:r>
      <w:r>
        <w:rPr>
          <w:sz w:val="23"/>
          <w:szCs w:val="23"/>
        </w:rPr>
        <w:t xml:space="preserve">40 percent of basic skills students did not successfully complete their courses. (60 percent of basic skills students received an A, B, C, or credit in their courses.) </w:t>
      </w:r>
    </w:p>
    <w:p w14:paraId="4D5D3BF6" w14:textId="77777777" w:rsidR="001A4CA1" w:rsidRDefault="001A4CA1" w:rsidP="001A4CA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3"/>
          <w:szCs w:val="23"/>
        </w:rPr>
        <w:t xml:space="preserve">Year 4: </w:t>
      </w:r>
      <w:r>
        <w:rPr>
          <w:i/>
          <w:iCs/>
          <w:sz w:val="23"/>
          <w:szCs w:val="23"/>
        </w:rPr>
        <w:t xml:space="preserve">Objective for 2013 was met: </w:t>
      </w:r>
      <w:r>
        <w:rPr>
          <w:sz w:val="23"/>
          <w:szCs w:val="23"/>
        </w:rPr>
        <w:t xml:space="preserve">46 percent of basic skills students did not successfully complete their courses. (54 percent of basic skills students received an A, B, C, or credit in their courses.) </w:t>
      </w:r>
    </w:p>
    <w:p w14:paraId="0CD21906" w14:textId="77777777" w:rsidR="00AE75F3" w:rsidRDefault="001A4CA1" w:rsidP="00AE75F3">
      <w:pPr>
        <w:spacing w:after="0"/>
        <w:rPr>
          <w:sz w:val="23"/>
          <w:szCs w:val="23"/>
        </w:rPr>
        <w:sectPr w:rsidR="00AE75F3" w:rsidSect="00AE75F3">
          <w:footerReference w:type="first" r:id="rId11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3"/>
          <w:szCs w:val="23"/>
        </w:rPr>
        <w:t xml:space="preserve">Year 5: </w:t>
      </w:r>
      <w:r>
        <w:rPr>
          <w:i/>
          <w:iCs/>
          <w:sz w:val="23"/>
          <w:szCs w:val="23"/>
        </w:rPr>
        <w:t xml:space="preserve">Objective for 2013 has been met: </w:t>
      </w:r>
      <w:r>
        <w:rPr>
          <w:sz w:val="23"/>
          <w:szCs w:val="23"/>
        </w:rPr>
        <w:t xml:space="preserve">48 percent of basic skills students did </w:t>
      </w:r>
      <w:r>
        <w:rPr>
          <w:i/>
          <w:iCs/>
          <w:sz w:val="23"/>
          <w:szCs w:val="23"/>
        </w:rPr>
        <w:t xml:space="preserve">not </w:t>
      </w:r>
      <w:r>
        <w:rPr>
          <w:sz w:val="23"/>
          <w:szCs w:val="23"/>
        </w:rPr>
        <w:t>successfully complete their courses. (52 percent of basic skills students received an A, B, C, or credit in their courses.)</w:t>
      </w:r>
    </w:p>
    <w:p w14:paraId="7316A7AF" w14:textId="77777777" w:rsidR="00AE75F3" w:rsidRPr="00907144" w:rsidRDefault="00AE75F3" w:rsidP="00AE75F3">
      <w:pPr>
        <w:jc w:val="center"/>
        <w:rPr>
          <w:b/>
          <w:color w:val="2C5DA6"/>
        </w:rPr>
      </w:pPr>
      <w:r w:rsidRPr="00907144">
        <w:rPr>
          <w:b/>
          <w:color w:val="2C5DA6"/>
        </w:rPr>
        <w:t>[4a] Long-Term Goals (5 yrs.) for ESL/Basic Skills</w:t>
      </w:r>
    </w:p>
    <w:p w14:paraId="472BE0BB" w14:textId="77777777" w:rsidR="00AE75F3" w:rsidRPr="000F20AD" w:rsidRDefault="00AE75F3" w:rsidP="00AE75F3">
      <w:pPr>
        <w:spacing w:after="0"/>
        <w:jc w:val="center"/>
        <w:outlineLvl w:val="0"/>
        <w:rPr>
          <w:b/>
        </w:rPr>
      </w:pPr>
    </w:p>
    <w:tbl>
      <w:tblPr>
        <w:tblW w:w="14400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0800"/>
      </w:tblGrid>
      <w:tr w:rsidR="00AE75F3" w:rsidRPr="000F20AD" w14:paraId="24F6AA6E" w14:textId="77777777" w:rsidTr="003F156A">
        <w:tc>
          <w:tcPr>
            <w:tcW w:w="3600" w:type="dxa"/>
            <w:vAlign w:val="bottom"/>
          </w:tcPr>
          <w:p w14:paraId="79593F05" w14:textId="77777777" w:rsidR="00AE75F3" w:rsidRPr="000F20AD" w:rsidRDefault="00AE75F3" w:rsidP="003F156A">
            <w:pPr>
              <w:spacing w:after="0"/>
              <w:outlineLvl w:val="0"/>
              <w:rPr>
                <w:b/>
              </w:rPr>
            </w:pPr>
            <w:r w:rsidRPr="000F20AD">
              <w:t xml:space="preserve"> </w:t>
            </w:r>
            <w:r w:rsidRPr="000F20AD">
              <w:rPr>
                <w:i/>
              </w:rPr>
              <w:t>Due October 10, 201</w:t>
            </w:r>
            <w:r>
              <w:rPr>
                <w:i/>
              </w:rPr>
              <w:t>4</w:t>
            </w:r>
          </w:p>
        </w:tc>
        <w:tc>
          <w:tcPr>
            <w:tcW w:w="10800" w:type="dxa"/>
            <w:vAlign w:val="bottom"/>
          </w:tcPr>
          <w:p w14:paraId="6FD3A1E4" w14:textId="77777777" w:rsidR="00AE75F3" w:rsidRPr="000F20AD" w:rsidRDefault="00AE75F3" w:rsidP="003F156A">
            <w:pPr>
              <w:tabs>
                <w:tab w:val="left" w:pos="8640"/>
                <w:tab w:val="right" w:pos="14400"/>
              </w:tabs>
              <w:spacing w:after="0"/>
              <w:outlineLvl w:val="0"/>
              <w:rPr>
                <w:u w:val="single"/>
              </w:rPr>
            </w:pPr>
            <w:r w:rsidRPr="000F20AD">
              <w:rPr>
                <w:b/>
              </w:rPr>
              <w:t>College Name</w:t>
            </w:r>
            <w:r w:rsidRPr="000F20AD">
              <w:t xml:space="preserve">:  </w:t>
            </w:r>
            <w:r>
              <w:t xml:space="preserve"> Merritt College of Peralta CCD</w:t>
            </w:r>
          </w:p>
        </w:tc>
      </w:tr>
    </w:tbl>
    <w:p w14:paraId="25F50884" w14:textId="77777777" w:rsidR="00AE75F3" w:rsidRDefault="00AE75F3" w:rsidP="00AE75F3">
      <w:pPr>
        <w:spacing w:after="0"/>
        <w:rPr>
          <w:b/>
        </w:rPr>
      </w:pPr>
    </w:p>
    <w:p w14:paraId="44547F87" w14:textId="77777777" w:rsidR="00AE75F3" w:rsidRDefault="00AE75F3" w:rsidP="00AE75F3">
      <w:pPr>
        <w:spacing w:after="0"/>
        <w:rPr>
          <w:b/>
        </w:rPr>
      </w:pPr>
      <w:r>
        <w:rPr>
          <w:b/>
        </w:rPr>
        <w:t>REFER TO LAST YEAR’S FORM.</w:t>
      </w:r>
    </w:p>
    <w:p w14:paraId="78AD3422" w14:textId="77777777" w:rsidR="00AE75F3" w:rsidRDefault="00AE75F3" w:rsidP="00AE75F3">
      <w:pPr>
        <w:spacing w:after="0"/>
        <w:rPr>
          <w:b/>
        </w:rPr>
      </w:pPr>
    </w:p>
    <w:p w14:paraId="27B5F13E" w14:textId="77777777" w:rsidR="00AE75F3" w:rsidRDefault="00AE75F3" w:rsidP="00AE75F3">
      <w:pPr>
        <w:spacing w:after="0"/>
        <w:rPr>
          <w:b/>
        </w:rPr>
      </w:pPr>
      <w:r>
        <w:rPr>
          <w:b/>
        </w:rPr>
        <w:t>Insert your long-term goals from the report you submitted last year.</w:t>
      </w:r>
    </w:p>
    <w:p w14:paraId="09F498CA" w14:textId="77777777" w:rsidR="00AE75F3" w:rsidRDefault="00AE75F3" w:rsidP="00AE75F3">
      <w:pPr>
        <w:spacing w:after="0"/>
        <w:rPr>
          <w:b/>
        </w:rPr>
      </w:pPr>
    </w:p>
    <w:p w14:paraId="079638E1" w14:textId="77777777" w:rsidR="00AE75F3" w:rsidRDefault="00AE75F3" w:rsidP="00AE75F3">
      <w:pPr>
        <w:spacing w:after="0"/>
        <w:rPr>
          <w:b/>
        </w:rPr>
      </w:pPr>
      <w:r>
        <w:rPr>
          <w:b/>
        </w:rPr>
        <w:t>Insert your 2014-2015 funds allocated to each goal. The sum of the right column should be your total allocation.</w:t>
      </w:r>
    </w:p>
    <w:p w14:paraId="2910CBC2" w14:textId="77777777" w:rsidR="00AE75F3" w:rsidRPr="000D4DBD" w:rsidRDefault="00AE75F3" w:rsidP="00AE75F3">
      <w:pPr>
        <w:spacing w:after="0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9360"/>
        <w:gridCol w:w="2340"/>
      </w:tblGrid>
      <w:tr w:rsidR="00AE75F3" w:rsidRPr="00532DE5" w14:paraId="1528DE43" w14:textId="77777777" w:rsidTr="003F156A"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46597EA" w14:textId="77777777" w:rsidR="00AE75F3" w:rsidRPr="00532DE5" w:rsidRDefault="00AE75F3" w:rsidP="003F156A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Goal ID</w:t>
            </w:r>
          </w:p>
        </w:tc>
        <w:tc>
          <w:tcPr>
            <w:tcW w:w="936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819598" w14:textId="77777777" w:rsidR="00AE75F3" w:rsidRPr="00532DE5" w:rsidRDefault="00AE75F3" w:rsidP="003F156A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Long-Term Goal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2E54BACB" w14:textId="77777777" w:rsidR="00AE75F3" w:rsidRDefault="00AE75F3" w:rsidP="003F156A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2014-2015 Funds </w:t>
            </w:r>
          </w:p>
          <w:p w14:paraId="038EB7AB" w14:textId="77777777" w:rsidR="00AE75F3" w:rsidRDefault="00AE75F3" w:rsidP="003F156A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Allocated to this Goal</w:t>
            </w:r>
          </w:p>
        </w:tc>
      </w:tr>
      <w:tr w:rsidR="00AE75F3" w:rsidRPr="00532DE5" w14:paraId="22196578" w14:textId="77777777" w:rsidTr="003F156A">
        <w:trPr>
          <w:trHeight w:val="720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BE35A39" w14:textId="77777777" w:rsidR="00AE75F3" w:rsidRDefault="00AE75F3" w:rsidP="003F156A">
            <w:pPr>
              <w:spacing w:after="0"/>
              <w:ind w:left="115" w:right="115"/>
              <w:jc w:val="center"/>
              <w:rPr>
                <w:sz w:val="20"/>
              </w:rPr>
            </w:pPr>
          </w:p>
          <w:p w14:paraId="3C092B27" w14:textId="77777777" w:rsidR="00AE75F3" w:rsidRPr="00532DE5" w:rsidRDefault="00AE75F3" w:rsidP="003F156A">
            <w:pPr>
              <w:spacing w:after="0"/>
              <w:ind w:left="115" w:right="11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9360" w:type="dxa"/>
            <w:tcBorders>
              <w:top w:val="single" w:sz="12" w:space="0" w:color="auto"/>
              <w:bottom w:val="single" w:sz="4" w:space="0" w:color="auto"/>
            </w:tcBorders>
          </w:tcPr>
          <w:p w14:paraId="46C946F7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 w:rsidRPr="003D3AA0">
              <w:t>Increase successful course completion rate for credit Basic Skills and ESL courses by 2% per year.</w:t>
            </w:r>
            <w:r>
              <w:t xml:space="preserve"> (10% over 5 years).</w:t>
            </w:r>
            <w:r>
              <w:rPr>
                <w:color w:val="FF0000"/>
              </w:rPr>
              <w:t xml:space="preserve">  </w:t>
            </w:r>
            <w:r>
              <w:t xml:space="preserve">We are continuing to </w:t>
            </w:r>
            <w:r w:rsidRPr="002534F5">
              <w:t xml:space="preserve">focus more </w:t>
            </w:r>
            <w:r>
              <w:t xml:space="preserve">on math and on equity goals.   Our overall </w:t>
            </w:r>
            <w:r w:rsidRPr="002534F5">
              <w:t xml:space="preserve">goal is to raise </w:t>
            </w:r>
            <w:r>
              <w:t xml:space="preserve"> successful math completion in both 253 and 201  </w:t>
            </w:r>
            <w:r w:rsidRPr="002534F5">
              <w:t xml:space="preserve">to </w:t>
            </w:r>
            <w:r>
              <w:t>60</w:t>
            </w:r>
            <w:r w:rsidRPr="002534F5">
              <w:t xml:space="preserve">% for </w:t>
            </w:r>
            <w:r>
              <w:t xml:space="preserve">Fall </w:t>
            </w:r>
            <w:r w:rsidRPr="002534F5">
              <w:t>1</w:t>
            </w:r>
            <w:r>
              <w:t>5</w:t>
            </w:r>
            <w:r w:rsidRPr="002534F5">
              <w:t>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</w:tcPr>
          <w:p w14:paraId="32B45CBB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</w:p>
          <w:p w14:paraId="4C563418" w14:textId="77777777" w:rsidR="00AE75F3" w:rsidRPr="007243B2" w:rsidRDefault="00AE75F3" w:rsidP="003F156A">
            <w:pPr>
              <w:rPr>
                <w:sz w:val="20"/>
              </w:rPr>
            </w:pPr>
            <w:r>
              <w:rPr>
                <w:sz w:val="20"/>
              </w:rPr>
              <w:t xml:space="preserve"> 50.000</w:t>
            </w:r>
          </w:p>
        </w:tc>
      </w:tr>
      <w:tr w:rsidR="00AE75F3" w:rsidRPr="00532DE5" w14:paraId="76121DC5" w14:textId="77777777" w:rsidTr="003F156A">
        <w:trPr>
          <w:trHeight w:val="720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5683E3" w14:textId="77777777" w:rsidR="00AE75F3" w:rsidRDefault="00AE75F3" w:rsidP="003F156A">
            <w:pPr>
              <w:spacing w:after="0"/>
              <w:ind w:left="115" w:right="115"/>
              <w:jc w:val="center"/>
              <w:rPr>
                <w:sz w:val="20"/>
              </w:rPr>
            </w:pPr>
          </w:p>
          <w:p w14:paraId="690E6664" w14:textId="77777777" w:rsidR="00AE75F3" w:rsidRPr="00532DE5" w:rsidRDefault="00AE75F3" w:rsidP="003F156A">
            <w:pPr>
              <w:spacing w:after="0"/>
              <w:ind w:left="115" w:right="115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14:paraId="687AFCBE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 w:rsidRPr="003D3AA0">
              <w:t>Increase the persistence of Basic Skills and ESL students by 2% per year</w:t>
            </w:r>
            <w:r w:rsidRPr="00044750">
              <w:t xml:space="preserve"> </w:t>
            </w:r>
            <w:r>
              <w:t>(10% over 5 years)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13EECE0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 w:rsidR="00AE75F3" w:rsidRPr="00532DE5" w14:paraId="7D097873" w14:textId="77777777" w:rsidTr="003F156A">
        <w:trPr>
          <w:trHeight w:val="720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0D0AF3" w14:textId="77777777" w:rsidR="00AE75F3" w:rsidRDefault="00AE75F3" w:rsidP="003F156A">
            <w:pPr>
              <w:spacing w:after="0"/>
              <w:ind w:left="115" w:right="115"/>
              <w:jc w:val="center"/>
              <w:rPr>
                <w:sz w:val="20"/>
              </w:rPr>
            </w:pPr>
          </w:p>
          <w:p w14:paraId="7F69D3D5" w14:textId="77777777" w:rsidR="00AE75F3" w:rsidRPr="00532DE5" w:rsidRDefault="00AE75F3" w:rsidP="003F156A">
            <w:pPr>
              <w:spacing w:after="0"/>
              <w:ind w:left="115" w:right="11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9360" w:type="dxa"/>
          </w:tcPr>
          <w:p w14:paraId="19F07E21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Increase the percentage of students who progress from basic skills to transfer level math or English by 2% per year (10% over 5 years).  </w:t>
            </w:r>
          </w:p>
        </w:tc>
        <w:tc>
          <w:tcPr>
            <w:tcW w:w="2340" w:type="dxa"/>
          </w:tcPr>
          <w:p w14:paraId="3A237342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 w:rsidR="00AE75F3" w:rsidRPr="00532DE5" w14:paraId="4CC84E34" w14:textId="77777777" w:rsidTr="003F156A">
        <w:trPr>
          <w:trHeight w:val="377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5ECCEF" w14:textId="77777777" w:rsidR="00AE75F3" w:rsidRPr="00C77666" w:rsidRDefault="00AE75F3" w:rsidP="003F156A">
            <w:pPr>
              <w:spacing w:after="0"/>
              <w:ind w:left="115" w:right="115"/>
              <w:rPr>
                <w:b/>
                <w:sz w:val="20"/>
              </w:rPr>
            </w:pPr>
          </w:p>
        </w:tc>
        <w:tc>
          <w:tcPr>
            <w:tcW w:w="9360" w:type="dxa"/>
          </w:tcPr>
          <w:p w14:paraId="22E8E217" w14:textId="77777777" w:rsidR="00AE75F3" w:rsidRPr="00C77666" w:rsidRDefault="00AE75F3" w:rsidP="003F156A">
            <w:pPr>
              <w:spacing w:before="120" w:after="120"/>
              <w:ind w:left="115" w:right="115"/>
              <w:jc w:val="right"/>
              <w:rPr>
                <w:b/>
                <w:sz w:val="20"/>
              </w:rPr>
            </w:pPr>
            <w:r w:rsidRPr="00C77666">
              <w:rPr>
                <w:b/>
                <w:sz w:val="20"/>
              </w:rPr>
              <w:t>TOTAL ALLOCATION:</w:t>
            </w:r>
          </w:p>
        </w:tc>
        <w:tc>
          <w:tcPr>
            <w:tcW w:w="2340" w:type="dxa"/>
          </w:tcPr>
          <w:p w14:paraId="5B364A2C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90.000</w:t>
            </w:r>
          </w:p>
        </w:tc>
      </w:tr>
    </w:tbl>
    <w:p w14:paraId="3B6D0106" w14:textId="77777777" w:rsidR="00AE75F3" w:rsidRPr="00501324" w:rsidRDefault="00AE75F3" w:rsidP="00AE75F3">
      <w:pPr>
        <w:tabs>
          <w:tab w:val="right" w:pos="7920"/>
          <w:tab w:val="left" w:pos="10800"/>
          <w:tab w:val="right" w:pos="14400"/>
        </w:tabs>
        <w:spacing w:after="0"/>
        <w:rPr>
          <w:u w:val="single"/>
        </w:rPr>
      </w:pPr>
    </w:p>
    <w:p w14:paraId="5FCD1EBE" w14:textId="77777777" w:rsidR="00AE75F3" w:rsidRDefault="00AE75F3" w:rsidP="00AE75F3">
      <w:pPr>
        <w:pStyle w:val="Default"/>
        <w:rPr>
          <w:rFonts w:asciiTheme="minorHAnsi" w:hAnsiTheme="minorHAnsi"/>
          <w:sz w:val="18"/>
          <w:szCs w:val="18"/>
        </w:rPr>
      </w:pPr>
    </w:p>
    <w:p w14:paraId="5B213783" w14:textId="77777777" w:rsidR="00AE75F3" w:rsidRDefault="00AE75F3" w:rsidP="00AE75F3">
      <w:pPr>
        <w:pStyle w:val="Default"/>
        <w:rPr>
          <w:rFonts w:asciiTheme="minorHAnsi" w:hAnsiTheme="minorHAnsi"/>
          <w:sz w:val="18"/>
          <w:szCs w:val="18"/>
        </w:rPr>
      </w:pPr>
    </w:p>
    <w:p w14:paraId="245B8A49" w14:textId="77777777" w:rsidR="00AE75F3" w:rsidRDefault="00AE75F3" w:rsidP="00AE75F3">
      <w:pPr>
        <w:tabs>
          <w:tab w:val="right" w:pos="7920"/>
          <w:tab w:val="left" w:pos="10800"/>
          <w:tab w:val="right" w:pos="13680"/>
        </w:tabs>
        <w:spacing w:after="0"/>
      </w:pPr>
    </w:p>
    <w:p w14:paraId="66D4E95C" w14:textId="77777777" w:rsidR="00AE75F3" w:rsidRDefault="00AE75F3" w:rsidP="00AE75F3">
      <w:pPr>
        <w:tabs>
          <w:tab w:val="right" w:pos="7920"/>
          <w:tab w:val="left" w:pos="10800"/>
          <w:tab w:val="right" w:pos="13680"/>
        </w:tabs>
        <w:spacing w:after="0"/>
      </w:pPr>
      <w:r>
        <w:t xml:space="preserve">                        ______________________________      ___________        ____________________________________        ___________</w:t>
      </w:r>
    </w:p>
    <w:p w14:paraId="11095C45" w14:textId="77777777" w:rsidR="00AE75F3" w:rsidRDefault="00AE75F3" w:rsidP="00AE75F3">
      <w:pPr>
        <w:tabs>
          <w:tab w:val="left" w:pos="1890"/>
          <w:tab w:val="left" w:pos="5580"/>
          <w:tab w:val="left" w:pos="7110"/>
          <w:tab w:val="right" w:pos="7920"/>
          <w:tab w:val="left" w:pos="11070"/>
          <w:tab w:val="left" w:pos="11970"/>
          <w:tab w:val="right" w:pos="13680"/>
        </w:tabs>
        <w:spacing w:after="0"/>
        <w:rPr>
          <w:rFonts w:ascii="Arial" w:hAnsi="Arial" w:cs="Arial"/>
          <w:sz w:val="18"/>
          <w:szCs w:val="18"/>
        </w:rPr>
      </w:pPr>
      <w:r w:rsidRPr="004B7587">
        <w:rPr>
          <w:sz w:val="18"/>
          <w:szCs w:val="18"/>
        </w:rPr>
        <w:tab/>
        <w:t>Signature</w:t>
      </w:r>
      <w:r>
        <w:rPr>
          <w:sz w:val="18"/>
          <w:szCs w:val="18"/>
        </w:rPr>
        <w:t xml:space="preserve">, Chief Executive Officer      </w:t>
      </w:r>
      <w:r>
        <w:rPr>
          <w:sz w:val="18"/>
          <w:szCs w:val="18"/>
        </w:rPr>
        <w:tab/>
      </w:r>
      <w:r w:rsidRPr="004B7587">
        <w:rPr>
          <w:sz w:val="18"/>
          <w:szCs w:val="18"/>
        </w:rPr>
        <w:t xml:space="preserve">Date                    </w:t>
      </w:r>
      <w:r w:rsidRPr="004B7587">
        <w:rPr>
          <w:sz w:val="18"/>
          <w:szCs w:val="18"/>
        </w:rPr>
        <w:tab/>
        <w:t>Signature, Aca</w:t>
      </w:r>
      <w:r>
        <w:rPr>
          <w:sz w:val="18"/>
          <w:szCs w:val="18"/>
        </w:rPr>
        <w:t>demic Senate President</w:t>
      </w:r>
      <w:r>
        <w:rPr>
          <w:sz w:val="18"/>
          <w:szCs w:val="18"/>
        </w:rPr>
        <w:tab/>
      </w:r>
      <w:r w:rsidRPr="004B7587">
        <w:rPr>
          <w:sz w:val="18"/>
          <w:szCs w:val="18"/>
        </w:rPr>
        <w:t>Date</w:t>
      </w:r>
    </w:p>
    <w:p w14:paraId="2F25817C" w14:textId="77777777" w:rsidR="00AE75F3" w:rsidRDefault="00AE75F3" w:rsidP="00AE75F3">
      <w:pPr>
        <w:tabs>
          <w:tab w:val="left" w:pos="1890"/>
          <w:tab w:val="left" w:pos="5580"/>
          <w:tab w:val="left" w:pos="7110"/>
          <w:tab w:val="right" w:pos="7920"/>
          <w:tab w:val="left" w:pos="11070"/>
          <w:tab w:val="left" w:pos="11970"/>
          <w:tab w:val="right" w:pos="13680"/>
        </w:tabs>
        <w:spacing w:after="0"/>
        <w:rPr>
          <w:rFonts w:ascii="Arial" w:hAnsi="Arial" w:cs="Arial"/>
          <w:sz w:val="18"/>
          <w:szCs w:val="18"/>
        </w:rPr>
      </w:pPr>
    </w:p>
    <w:p w14:paraId="4CE53149" w14:textId="77777777" w:rsidR="00AE75F3" w:rsidRDefault="00AE75F3" w:rsidP="00AE75F3">
      <w:pPr>
        <w:tabs>
          <w:tab w:val="left" w:pos="1890"/>
          <w:tab w:val="left" w:pos="5580"/>
          <w:tab w:val="left" w:pos="7110"/>
          <w:tab w:val="right" w:pos="7920"/>
          <w:tab w:val="left" w:pos="11070"/>
          <w:tab w:val="left" w:pos="11970"/>
          <w:tab w:val="right" w:pos="13680"/>
        </w:tabs>
        <w:spacing w:after="0"/>
        <w:rPr>
          <w:rFonts w:ascii="Arial" w:hAnsi="Arial" w:cs="Arial"/>
          <w:sz w:val="18"/>
          <w:szCs w:val="18"/>
        </w:rPr>
      </w:pPr>
    </w:p>
    <w:p w14:paraId="0FA0A30D" w14:textId="77777777" w:rsidR="00AE75F3" w:rsidRDefault="00AE75F3" w:rsidP="00AE75F3">
      <w:pPr>
        <w:tabs>
          <w:tab w:val="left" w:pos="1890"/>
          <w:tab w:val="left" w:pos="5580"/>
          <w:tab w:val="left" w:pos="7110"/>
          <w:tab w:val="right" w:pos="7920"/>
          <w:tab w:val="left" w:pos="11070"/>
          <w:tab w:val="left" w:pos="11970"/>
          <w:tab w:val="right" w:pos="13680"/>
        </w:tabs>
        <w:spacing w:after="0"/>
        <w:rPr>
          <w:rFonts w:ascii="Arial" w:hAnsi="Arial" w:cs="Arial"/>
          <w:sz w:val="18"/>
          <w:szCs w:val="18"/>
        </w:rPr>
      </w:pPr>
    </w:p>
    <w:p w14:paraId="209BE1EC" w14:textId="77777777" w:rsidR="00AE75F3" w:rsidRDefault="00AE75F3" w:rsidP="00AE75F3">
      <w:pPr>
        <w:tabs>
          <w:tab w:val="left" w:pos="1890"/>
          <w:tab w:val="left" w:pos="5580"/>
          <w:tab w:val="left" w:pos="7110"/>
          <w:tab w:val="right" w:pos="7920"/>
          <w:tab w:val="left" w:pos="11070"/>
          <w:tab w:val="left" w:pos="11970"/>
          <w:tab w:val="right" w:pos="13680"/>
        </w:tabs>
        <w:spacing w:after="0"/>
        <w:rPr>
          <w:rFonts w:ascii="Arial" w:hAnsi="Arial" w:cs="Arial"/>
          <w:sz w:val="18"/>
          <w:szCs w:val="18"/>
        </w:rPr>
      </w:pPr>
    </w:p>
    <w:p w14:paraId="1736D70E" w14:textId="77777777" w:rsidR="00AE75F3" w:rsidRDefault="00AE75F3" w:rsidP="00AE75F3">
      <w:pPr>
        <w:tabs>
          <w:tab w:val="right" w:pos="7920"/>
          <w:tab w:val="left" w:pos="10800"/>
          <w:tab w:val="right" w:pos="13680"/>
        </w:tabs>
        <w:spacing w:after="0"/>
      </w:pPr>
      <w:r>
        <w:t xml:space="preserve">                        ______________________________      ___________        ___________________________________        ___________</w:t>
      </w:r>
    </w:p>
    <w:p w14:paraId="2DE4F008" w14:textId="77777777" w:rsidR="00AE75F3" w:rsidRDefault="00AE75F3" w:rsidP="00AE75F3">
      <w:pPr>
        <w:tabs>
          <w:tab w:val="left" w:pos="1890"/>
          <w:tab w:val="left" w:pos="5580"/>
          <w:tab w:val="left" w:pos="7110"/>
          <w:tab w:val="right" w:pos="7920"/>
          <w:tab w:val="left" w:pos="11070"/>
          <w:tab w:val="left" w:pos="11970"/>
          <w:tab w:val="right" w:pos="13680"/>
        </w:tabs>
        <w:spacing w:after="0"/>
        <w:rPr>
          <w:sz w:val="18"/>
          <w:szCs w:val="18"/>
        </w:rPr>
      </w:pPr>
      <w:r w:rsidRPr="004B7587">
        <w:rPr>
          <w:sz w:val="18"/>
          <w:szCs w:val="18"/>
        </w:rPr>
        <w:tab/>
        <w:t>Signature</w:t>
      </w:r>
      <w:r>
        <w:rPr>
          <w:sz w:val="18"/>
          <w:szCs w:val="18"/>
        </w:rPr>
        <w:t xml:space="preserve">, Chief Instructional Officer      </w:t>
      </w:r>
      <w:r>
        <w:rPr>
          <w:sz w:val="18"/>
          <w:szCs w:val="18"/>
        </w:rPr>
        <w:tab/>
      </w:r>
      <w:r w:rsidRPr="004B7587">
        <w:rPr>
          <w:sz w:val="18"/>
          <w:szCs w:val="18"/>
        </w:rPr>
        <w:t xml:space="preserve">Date                    </w:t>
      </w:r>
      <w:r w:rsidRPr="004B7587">
        <w:rPr>
          <w:sz w:val="18"/>
          <w:szCs w:val="18"/>
        </w:rPr>
        <w:tab/>
        <w:t xml:space="preserve">Signature, </w:t>
      </w:r>
      <w:r>
        <w:rPr>
          <w:sz w:val="18"/>
          <w:szCs w:val="18"/>
        </w:rPr>
        <w:t>Chief Student Services Officer</w:t>
      </w:r>
      <w:r>
        <w:rPr>
          <w:sz w:val="18"/>
          <w:szCs w:val="18"/>
        </w:rPr>
        <w:tab/>
      </w:r>
      <w:r w:rsidRPr="004B7587">
        <w:rPr>
          <w:sz w:val="18"/>
          <w:szCs w:val="18"/>
        </w:rPr>
        <w:t>Date</w:t>
      </w:r>
    </w:p>
    <w:p w14:paraId="42D9225F" w14:textId="77777777" w:rsidR="00AE75F3" w:rsidRPr="001B5964" w:rsidRDefault="00AE75F3" w:rsidP="00AE75F3">
      <w:pPr>
        <w:tabs>
          <w:tab w:val="left" w:pos="1890"/>
          <w:tab w:val="left" w:pos="5580"/>
          <w:tab w:val="left" w:pos="7110"/>
          <w:tab w:val="right" w:pos="7920"/>
          <w:tab w:val="left" w:pos="11070"/>
          <w:tab w:val="left" w:pos="11970"/>
          <w:tab w:val="right" w:pos="13680"/>
        </w:tabs>
        <w:spacing w:after="0"/>
        <w:rPr>
          <w:rFonts w:ascii="Arial" w:hAnsi="Arial" w:cs="Arial"/>
          <w:sz w:val="18"/>
          <w:szCs w:val="18"/>
        </w:rPr>
        <w:sectPr w:rsidR="00AE75F3" w:rsidRPr="001B5964" w:rsidSect="00AE75F3">
          <w:pgSz w:w="15840" w:h="12240" w:orient="landscape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1F086A95" w14:textId="77777777" w:rsidR="00AE75F3" w:rsidRPr="00907144" w:rsidRDefault="00AE75F3" w:rsidP="00AE75F3">
      <w:pPr>
        <w:jc w:val="center"/>
        <w:rPr>
          <w:b/>
          <w:color w:val="2C5DA6"/>
        </w:rPr>
      </w:pPr>
      <w:r w:rsidRPr="00907144">
        <w:rPr>
          <w:b/>
          <w:color w:val="2C5DA6"/>
        </w:rPr>
        <w:t xml:space="preserve"> </w:t>
      </w:r>
      <w:r w:rsidRPr="00907144">
        <w:rPr>
          <w:b/>
          <w:color w:val="2C5DA6"/>
        </w:rPr>
        <w:t xml:space="preserve">[4b] </w:t>
      </w:r>
      <w:r>
        <w:rPr>
          <w:b/>
          <w:color w:val="2C5DA6"/>
        </w:rPr>
        <w:t>2014</w:t>
      </w:r>
      <w:r w:rsidRPr="00907144">
        <w:rPr>
          <w:b/>
          <w:color w:val="2C5DA6"/>
        </w:rPr>
        <w:t>-</w:t>
      </w:r>
      <w:r>
        <w:rPr>
          <w:b/>
          <w:color w:val="2C5DA6"/>
        </w:rPr>
        <w:t>2015</w:t>
      </w:r>
      <w:r w:rsidRPr="00907144">
        <w:rPr>
          <w:b/>
          <w:color w:val="2C5DA6"/>
        </w:rPr>
        <w:t xml:space="preserve"> ESL/Basic Skills Action Plan</w:t>
      </w:r>
    </w:p>
    <w:p w14:paraId="20EDA854" w14:textId="77777777" w:rsidR="00AE75F3" w:rsidRPr="00AE75F3" w:rsidRDefault="00AE75F3" w:rsidP="00AE75F3">
      <w:pPr>
        <w:spacing w:after="0"/>
        <w:jc w:val="center"/>
        <w:outlineLvl w:val="0"/>
        <w:rPr>
          <w:b/>
          <w:sz w:val="16"/>
          <w:szCs w:val="16"/>
        </w:rPr>
      </w:pPr>
    </w:p>
    <w:tbl>
      <w:tblPr>
        <w:tblW w:w="14400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0800"/>
      </w:tblGrid>
      <w:tr w:rsidR="00AE75F3" w:rsidRPr="000F20AD" w14:paraId="054B76C4" w14:textId="77777777" w:rsidTr="003F156A">
        <w:tc>
          <w:tcPr>
            <w:tcW w:w="3600" w:type="dxa"/>
            <w:vAlign w:val="bottom"/>
          </w:tcPr>
          <w:p w14:paraId="585F5BF5" w14:textId="77777777" w:rsidR="00AE75F3" w:rsidRPr="000F20AD" w:rsidRDefault="00AE75F3" w:rsidP="003F156A">
            <w:pPr>
              <w:spacing w:after="0"/>
              <w:outlineLvl w:val="0"/>
              <w:rPr>
                <w:b/>
              </w:rPr>
            </w:pPr>
            <w:r w:rsidRPr="000F20AD">
              <w:t xml:space="preserve"> </w:t>
            </w:r>
            <w:r w:rsidRPr="000F20AD">
              <w:rPr>
                <w:i/>
              </w:rPr>
              <w:t>Due October 10, 201</w:t>
            </w:r>
            <w:r>
              <w:rPr>
                <w:i/>
              </w:rPr>
              <w:t>4</w:t>
            </w:r>
          </w:p>
        </w:tc>
        <w:tc>
          <w:tcPr>
            <w:tcW w:w="10800" w:type="dxa"/>
            <w:vAlign w:val="bottom"/>
          </w:tcPr>
          <w:p w14:paraId="5D579DBE" w14:textId="77777777" w:rsidR="00AE75F3" w:rsidRPr="000F20AD" w:rsidRDefault="00AE75F3" w:rsidP="003F156A">
            <w:pPr>
              <w:tabs>
                <w:tab w:val="left" w:pos="4032"/>
                <w:tab w:val="left" w:pos="8640"/>
                <w:tab w:val="right" w:pos="14400"/>
              </w:tabs>
              <w:spacing w:after="0"/>
              <w:outlineLvl w:val="0"/>
              <w:rPr>
                <w:u w:val="single"/>
              </w:rPr>
            </w:pPr>
            <w:r w:rsidRPr="000F20AD">
              <w:rPr>
                <w:b/>
              </w:rPr>
              <w:t>College Name</w:t>
            </w:r>
            <w:r w:rsidRPr="000F20AD">
              <w:rPr>
                <w:u w:val="single"/>
              </w:rPr>
              <w:tab/>
            </w:r>
            <w:r w:rsidRPr="002D1B04">
              <w:rPr>
                <w:u w:val="single"/>
              </w:rPr>
              <w:t>Merritt College of Peralta CCD</w:t>
            </w:r>
            <w:r>
              <w:rPr>
                <w:u w:val="single"/>
              </w:rPr>
              <w:tab/>
            </w:r>
          </w:p>
        </w:tc>
      </w:tr>
    </w:tbl>
    <w:p w14:paraId="3B17F088" w14:textId="77777777" w:rsidR="00AE75F3" w:rsidRDefault="00AE75F3" w:rsidP="00AE75F3">
      <w:pPr>
        <w:spacing w:after="0"/>
        <w:rPr>
          <w:b/>
        </w:rPr>
      </w:pPr>
    </w:p>
    <w:p w14:paraId="20735525" w14:textId="77777777" w:rsidR="00AE75F3" w:rsidRDefault="00AE75F3" w:rsidP="00AE75F3">
      <w:pPr>
        <w:spacing w:after="0"/>
        <w:rPr>
          <w:b/>
        </w:rPr>
      </w:pPr>
      <w:r>
        <w:rPr>
          <w:b/>
        </w:rPr>
        <w:t>Insert your 2014-2015 funds allocated to each activity. The sum of the right column should be your total allocation.</w:t>
      </w:r>
    </w:p>
    <w:p w14:paraId="039627B7" w14:textId="77777777" w:rsidR="00AE75F3" w:rsidRPr="000D4DBD" w:rsidRDefault="00AE75F3" w:rsidP="00AE75F3">
      <w:pPr>
        <w:spacing w:after="0"/>
        <w:rPr>
          <w:b/>
        </w:rPr>
      </w:pPr>
    </w:p>
    <w:tbl>
      <w:tblPr>
        <w:tblW w:w="13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1073"/>
        <w:gridCol w:w="1170"/>
        <w:gridCol w:w="2070"/>
        <w:gridCol w:w="4327"/>
        <w:gridCol w:w="1260"/>
      </w:tblGrid>
      <w:tr w:rsidR="00AE75F3" w:rsidRPr="00532DE5" w14:paraId="0FF890B0" w14:textId="77777777" w:rsidTr="003F156A">
        <w:trPr>
          <w:trHeight w:val="906"/>
          <w:jc w:val="center"/>
        </w:trPr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7E3E98" w14:textId="77777777" w:rsidR="00AE75F3" w:rsidRPr="00532DE5" w:rsidRDefault="00AE75F3" w:rsidP="003F156A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42004" w14:textId="77777777" w:rsidR="00AE75F3" w:rsidRPr="00532DE5" w:rsidRDefault="00AE75F3" w:rsidP="003F156A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Associated Long-Term Goal ID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D0847" w14:textId="77777777" w:rsidR="00AE75F3" w:rsidRPr="00532DE5" w:rsidRDefault="00AE75F3" w:rsidP="003F156A">
            <w:pPr>
              <w:spacing w:before="60" w:after="60"/>
              <w:jc w:val="center"/>
              <w:rPr>
                <w:b/>
                <w:sz w:val="20"/>
              </w:rPr>
            </w:pPr>
            <w:r w:rsidRPr="00532DE5">
              <w:rPr>
                <w:b/>
                <w:sz w:val="20"/>
              </w:rPr>
              <w:t>Target Date for Completion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368EE" w14:textId="77777777" w:rsidR="00AE75F3" w:rsidRPr="00532DE5" w:rsidRDefault="00AE75F3" w:rsidP="003F156A">
            <w:pPr>
              <w:spacing w:before="60" w:after="60"/>
              <w:jc w:val="center"/>
              <w:rPr>
                <w:b/>
                <w:sz w:val="20"/>
              </w:rPr>
            </w:pPr>
            <w:r w:rsidRPr="00532DE5">
              <w:rPr>
                <w:b/>
                <w:sz w:val="20"/>
              </w:rPr>
              <w:t>Responsible Person(s)/</w:t>
            </w:r>
            <w:r w:rsidRPr="00532DE5">
              <w:rPr>
                <w:b/>
                <w:sz w:val="20"/>
              </w:rPr>
              <w:br/>
              <w:t>Department(s)</w:t>
            </w:r>
          </w:p>
        </w:tc>
        <w:tc>
          <w:tcPr>
            <w:tcW w:w="43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0D43D6" w14:textId="77777777" w:rsidR="00AE75F3" w:rsidRPr="00532DE5" w:rsidRDefault="00AE75F3" w:rsidP="003F156A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Measurable Outcome(s)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58F02642" w14:textId="77777777" w:rsidR="00AE75F3" w:rsidRDefault="00AE75F3" w:rsidP="003F156A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2014-2015 Funds Allocated to this Activity</w:t>
            </w:r>
          </w:p>
        </w:tc>
      </w:tr>
      <w:tr w:rsidR="00AE75F3" w:rsidRPr="00532DE5" w14:paraId="499263B9" w14:textId="77777777" w:rsidTr="003F156A">
        <w:trPr>
          <w:trHeight w:val="720"/>
          <w:jc w:val="center"/>
        </w:trPr>
        <w:tc>
          <w:tcPr>
            <w:tcW w:w="3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DD37A31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Hire a Researcher 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4" w:space="0" w:color="auto"/>
            </w:tcBorders>
          </w:tcPr>
          <w:p w14:paraId="450383DD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 1-3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</w:tcPr>
          <w:p w14:paraId="32E69BDD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Spring 15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53F63A50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President, VPI, VPSS Dean,s BSI coordinators</w:t>
            </w:r>
          </w:p>
        </w:tc>
        <w:tc>
          <w:tcPr>
            <w:tcW w:w="4327" w:type="dxa"/>
            <w:tcBorders>
              <w:top w:val="single" w:sz="12" w:space="0" w:color="auto"/>
              <w:bottom w:val="single" w:sz="4" w:space="0" w:color="auto"/>
            </w:tcBorders>
          </w:tcPr>
          <w:p w14:paraId="2827DE6A" w14:textId="77777777" w:rsidR="00AE75F3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Researcher hired and research agenda developed.</w:t>
            </w:r>
          </w:p>
          <w:p w14:paraId="1C8C49B3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Available data analyzed to develop a more detailed picture of impact of BSI expenditures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14:paraId="4CF40C8D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 w:rsidR="00AE75F3" w:rsidRPr="00532DE5" w14:paraId="6991FCE1" w14:textId="77777777" w:rsidTr="003F156A">
        <w:trPr>
          <w:trHeight w:val="720"/>
          <w:jc w:val="center"/>
        </w:trPr>
        <w:tc>
          <w:tcPr>
            <w:tcW w:w="3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089CA2" w14:textId="77777777" w:rsidR="00AE75F3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Embedded tutors in math and English; Math lab Technician and Instructional Assistant in English for math students;</w:t>
            </w:r>
          </w:p>
          <w:p w14:paraId="356D9FF6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Develop modules for math anxiety and the affective and behavioral domains of learning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499E612E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C03001F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Spring 15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A287A01" w14:textId="77777777" w:rsidR="00AE75F3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Deans of Instruction, BSI coordinator, math and English departs;</w:t>
            </w:r>
          </w:p>
          <w:p w14:paraId="7DDD62E8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psychology Instructor, counselor</w:t>
            </w:r>
          </w:p>
        </w:tc>
        <w:tc>
          <w:tcPr>
            <w:tcW w:w="4327" w:type="dxa"/>
            <w:tcBorders>
              <w:top w:val="single" w:sz="4" w:space="0" w:color="auto"/>
            </w:tcBorders>
          </w:tcPr>
          <w:p w14:paraId="312869E0" w14:textId="77777777" w:rsidR="00AE75F3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Success rate for basic Skills English matches college success rate (68%); math success rate reaches 55%</w:t>
            </w:r>
          </w:p>
          <w:p w14:paraId="76727922" w14:textId="77777777" w:rsidR="00AE75F3" w:rsidRPr="00532DE5" w:rsidRDefault="00AE75F3" w:rsidP="00AE75F3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Support personnel h</w:t>
            </w:r>
            <w:r>
              <w:rPr>
                <w:sz w:val="20"/>
              </w:rPr>
              <w:t>ired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09E077D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</w:tr>
      <w:tr w:rsidR="00AE75F3" w:rsidRPr="00532DE5" w14:paraId="331D1388" w14:textId="77777777" w:rsidTr="003F156A">
        <w:trPr>
          <w:trHeight w:val="720"/>
          <w:jc w:val="center"/>
        </w:trPr>
        <w:tc>
          <w:tcPr>
            <w:tcW w:w="3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9F45F7" w14:textId="77777777" w:rsidR="00AE75F3" w:rsidRPr="00532DE5" w:rsidRDefault="00AE75F3" w:rsidP="003F156A">
            <w:pPr>
              <w:spacing w:before="120" w:after="0"/>
              <w:ind w:right="115"/>
              <w:rPr>
                <w:sz w:val="20"/>
              </w:rPr>
            </w:pPr>
            <w:r>
              <w:rPr>
                <w:sz w:val="20"/>
              </w:rPr>
              <w:t>BS counselor hired</w:t>
            </w:r>
          </w:p>
        </w:tc>
        <w:tc>
          <w:tcPr>
            <w:tcW w:w="1073" w:type="dxa"/>
          </w:tcPr>
          <w:p w14:paraId="194BE2BC" w14:textId="77777777" w:rsidR="00AE75F3" w:rsidRPr="00532DE5" w:rsidRDefault="00AE75F3" w:rsidP="003F156A">
            <w:pPr>
              <w:spacing w:before="120" w:after="0"/>
              <w:ind w:left="173" w:right="115"/>
              <w:rPr>
                <w:sz w:val="20"/>
              </w:rPr>
            </w:pPr>
            <w:r>
              <w:rPr>
                <w:sz w:val="20"/>
              </w:rPr>
              <w:t xml:space="preserve"> 1-3</w:t>
            </w:r>
          </w:p>
        </w:tc>
        <w:tc>
          <w:tcPr>
            <w:tcW w:w="1170" w:type="dxa"/>
          </w:tcPr>
          <w:p w14:paraId="0F45FD26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Spring 15</w:t>
            </w:r>
          </w:p>
        </w:tc>
        <w:tc>
          <w:tcPr>
            <w:tcW w:w="2070" w:type="dxa"/>
          </w:tcPr>
          <w:p w14:paraId="0B0D4CC9" w14:textId="77777777" w:rsidR="00AE75F3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VPSS, </w:t>
            </w:r>
          </w:p>
          <w:p w14:paraId="1847746B" w14:textId="77777777" w:rsidR="00AE75F3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Chair counseling, </w:t>
            </w:r>
          </w:p>
          <w:p w14:paraId="0849E598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 BSI coordinators</w:t>
            </w:r>
          </w:p>
        </w:tc>
        <w:tc>
          <w:tcPr>
            <w:tcW w:w="4327" w:type="dxa"/>
          </w:tcPr>
          <w:p w14:paraId="15F9BEF4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Increase the %  (from baseline in F13) of students who assess for basic skills who have SEPs  and  who see a counselor at least twice a semester; work on  persistence of basic skills students </w:t>
            </w:r>
          </w:p>
        </w:tc>
        <w:tc>
          <w:tcPr>
            <w:tcW w:w="1260" w:type="dxa"/>
          </w:tcPr>
          <w:p w14:paraId="291F5C1A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</w:tr>
      <w:tr w:rsidR="00AE75F3" w:rsidRPr="00532DE5" w14:paraId="6EC720C5" w14:textId="77777777" w:rsidTr="003F156A">
        <w:trPr>
          <w:trHeight w:val="720"/>
          <w:jc w:val="center"/>
        </w:trPr>
        <w:tc>
          <w:tcPr>
            <w:tcW w:w="3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832A2F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Contextualizing  basic skills in  CTE courses--alignment </w:t>
            </w:r>
          </w:p>
        </w:tc>
        <w:tc>
          <w:tcPr>
            <w:tcW w:w="1073" w:type="dxa"/>
          </w:tcPr>
          <w:p w14:paraId="2BF64EDA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1170" w:type="dxa"/>
          </w:tcPr>
          <w:p w14:paraId="233BCBC0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Spring 15</w:t>
            </w:r>
          </w:p>
        </w:tc>
        <w:tc>
          <w:tcPr>
            <w:tcW w:w="2070" w:type="dxa"/>
          </w:tcPr>
          <w:p w14:paraId="48045453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CTE faculty, Deans of Instruction, BSI coordinators. English and math faculty</w:t>
            </w:r>
          </w:p>
        </w:tc>
        <w:tc>
          <w:tcPr>
            <w:tcW w:w="4327" w:type="dxa"/>
          </w:tcPr>
          <w:p w14:paraId="6923CA3E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Reading and Writing modules developed with outcomes aligned with basic skills math and English courses; </w:t>
            </w:r>
          </w:p>
        </w:tc>
        <w:tc>
          <w:tcPr>
            <w:tcW w:w="1260" w:type="dxa"/>
          </w:tcPr>
          <w:p w14:paraId="1D12A16A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9,000</w:t>
            </w:r>
          </w:p>
        </w:tc>
      </w:tr>
      <w:tr w:rsidR="00AE75F3" w:rsidRPr="00532DE5" w14:paraId="3D314FBE" w14:textId="77777777" w:rsidTr="00AE75F3">
        <w:trPr>
          <w:trHeight w:val="539"/>
          <w:jc w:val="center"/>
        </w:trPr>
        <w:tc>
          <w:tcPr>
            <w:tcW w:w="3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841076C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Coordination</w:t>
            </w:r>
          </w:p>
        </w:tc>
        <w:tc>
          <w:tcPr>
            <w:tcW w:w="1073" w:type="dxa"/>
          </w:tcPr>
          <w:p w14:paraId="21C69CC4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1170" w:type="dxa"/>
          </w:tcPr>
          <w:p w14:paraId="5B78DF92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070" w:type="dxa"/>
          </w:tcPr>
          <w:p w14:paraId="4725D21C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BSI coordinators and classified staff</w:t>
            </w:r>
          </w:p>
        </w:tc>
        <w:tc>
          <w:tcPr>
            <w:tcW w:w="4327" w:type="dxa"/>
          </w:tcPr>
          <w:p w14:paraId="10FA4F7F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 xml:space="preserve">Coordinate all activities of the BSI and maintain reports and the budget. </w:t>
            </w:r>
          </w:p>
        </w:tc>
        <w:tc>
          <w:tcPr>
            <w:tcW w:w="1260" w:type="dxa"/>
          </w:tcPr>
          <w:p w14:paraId="6DC86E03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6,000</w:t>
            </w:r>
          </w:p>
        </w:tc>
      </w:tr>
      <w:tr w:rsidR="00AE75F3" w:rsidRPr="00532DE5" w14:paraId="7631B9F9" w14:textId="77777777" w:rsidTr="003F156A">
        <w:trPr>
          <w:trHeight w:val="1232"/>
          <w:jc w:val="center"/>
        </w:trPr>
        <w:tc>
          <w:tcPr>
            <w:tcW w:w="3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7CD002B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Professional Development</w:t>
            </w:r>
          </w:p>
        </w:tc>
        <w:tc>
          <w:tcPr>
            <w:tcW w:w="1073" w:type="dxa"/>
          </w:tcPr>
          <w:p w14:paraId="7E8C4AC8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1170" w:type="dxa"/>
          </w:tcPr>
          <w:p w14:paraId="671DE0B3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</w:p>
        </w:tc>
        <w:tc>
          <w:tcPr>
            <w:tcW w:w="2070" w:type="dxa"/>
          </w:tcPr>
          <w:p w14:paraId="00423196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Faculty inquiry groups, conferences, seminars, Reading Apprenticeship, On Course workshops</w:t>
            </w:r>
          </w:p>
        </w:tc>
        <w:tc>
          <w:tcPr>
            <w:tcW w:w="4327" w:type="dxa"/>
          </w:tcPr>
          <w:p w14:paraId="0674F2F4" w14:textId="77777777" w:rsidR="00AE75F3" w:rsidRPr="00532DE5" w:rsidRDefault="00AE75F3" w:rsidP="003F156A">
            <w:pPr>
              <w:spacing w:before="120" w:after="120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Changes in curriculum, teaching approaches, leading  to  improved retention, success and persistence especially to address equity goals.  </w:t>
            </w:r>
          </w:p>
        </w:tc>
        <w:tc>
          <w:tcPr>
            <w:tcW w:w="1260" w:type="dxa"/>
          </w:tcPr>
          <w:p w14:paraId="4F993B9B" w14:textId="77777777" w:rsidR="00AE75F3" w:rsidRDefault="00AE75F3" w:rsidP="003F156A">
            <w:pPr>
              <w:spacing w:after="0"/>
              <w:ind w:left="115" w:right="115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 w14:paraId="44907DAA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</w:p>
        </w:tc>
      </w:tr>
      <w:tr w:rsidR="00AE75F3" w:rsidRPr="00532DE5" w14:paraId="41E6A320" w14:textId="77777777" w:rsidTr="003F156A">
        <w:trPr>
          <w:trHeight w:val="548"/>
          <w:jc w:val="center"/>
        </w:trPr>
        <w:tc>
          <w:tcPr>
            <w:tcW w:w="3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CB86FC7" w14:textId="77777777" w:rsidR="00AE75F3" w:rsidRDefault="00AE75F3" w:rsidP="003F156A">
            <w:pPr>
              <w:spacing w:after="0"/>
              <w:ind w:left="115" w:right="115"/>
              <w:rPr>
                <w:sz w:val="20"/>
              </w:rPr>
            </w:pPr>
          </w:p>
        </w:tc>
        <w:tc>
          <w:tcPr>
            <w:tcW w:w="1073" w:type="dxa"/>
          </w:tcPr>
          <w:p w14:paraId="7AA51BE7" w14:textId="77777777" w:rsidR="00AE75F3" w:rsidRDefault="00AE75F3" w:rsidP="003F156A">
            <w:pPr>
              <w:spacing w:after="0"/>
              <w:ind w:left="115" w:right="115"/>
              <w:rPr>
                <w:sz w:val="20"/>
              </w:rPr>
            </w:pPr>
          </w:p>
        </w:tc>
        <w:tc>
          <w:tcPr>
            <w:tcW w:w="1170" w:type="dxa"/>
          </w:tcPr>
          <w:p w14:paraId="2B2C5B70" w14:textId="77777777" w:rsidR="00AE75F3" w:rsidRPr="00532DE5" w:rsidRDefault="00AE75F3" w:rsidP="003F156A">
            <w:pPr>
              <w:spacing w:after="0"/>
              <w:ind w:left="115" w:right="115"/>
              <w:rPr>
                <w:sz w:val="20"/>
              </w:rPr>
            </w:pPr>
          </w:p>
        </w:tc>
        <w:tc>
          <w:tcPr>
            <w:tcW w:w="2070" w:type="dxa"/>
          </w:tcPr>
          <w:p w14:paraId="5FBCAE87" w14:textId="77777777" w:rsidR="00AE75F3" w:rsidRDefault="00AE75F3" w:rsidP="003F156A">
            <w:pPr>
              <w:spacing w:after="0"/>
              <w:ind w:left="115" w:right="115"/>
              <w:rPr>
                <w:sz w:val="20"/>
              </w:rPr>
            </w:pPr>
          </w:p>
        </w:tc>
        <w:tc>
          <w:tcPr>
            <w:tcW w:w="4327" w:type="dxa"/>
          </w:tcPr>
          <w:p w14:paraId="64805EE3" w14:textId="77777777" w:rsidR="00AE75F3" w:rsidRDefault="00AE75F3" w:rsidP="003F156A">
            <w:pPr>
              <w:spacing w:before="120" w:after="120"/>
              <w:ind w:right="115"/>
              <w:jc w:val="right"/>
              <w:rPr>
                <w:sz w:val="20"/>
              </w:rPr>
            </w:pPr>
            <w:r w:rsidRPr="001055AC">
              <w:rPr>
                <w:b/>
                <w:sz w:val="20"/>
              </w:rPr>
              <w:t>TOTAL ALLOCATION:</w:t>
            </w:r>
          </w:p>
        </w:tc>
        <w:tc>
          <w:tcPr>
            <w:tcW w:w="1260" w:type="dxa"/>
          </w:tcPr>
          <w:p w14:paraId="2BC50F3F" w14:textId="77777777" w:rsidR="00AE75F3" w:rsidRPr="002D1B04" w:rsidRDefault="00AE75F3" w:rsidP="003F156A">
            <w:pPr>
              <w:spacing w:before="120" w:after="0"/>
              <w:ind w:left="115" w:right="115"/>
              <w:rPr>
                <w:b/>
                <w:sz w:val="20"/>
              </w:rPr>
            </w:pPr>
            <w:r w:rsidRPr="002D1B04">
              <w:rPr>
                <w:b/>
                <w:sz w:val="20"/>
              </w:rPr>
              <w:fldChar w:fldCharType="begin"/>
            </w:r>
            <w:r w:rsidRPr="002D1B04">
              <w:rPr>
                <w:b/>
                <w:sz w:val="20"/>
              </w:rPr>
              <w:instrText xml:space="preserve"> =SUM(ABOVE) </w:instrText>
            </w:r>
            <w:r w:rsidRPr="002D1B04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90,000</w:t>
            </w:r>
            <w:r w:rsidRPr="002D1B04">
              <w:rPr>
                <w:b/>
                <w:sz w:val="20"/>
              </w:rPr>
              <w:fldChar w:fldCharType="end"/>
            </w:r>
          </w:p>
        </w:tc>
      </w:tr>
    </w:tbl>
    <w:p w14:paraId="480CE827" w14:textId="77777777" w:rsidR="00AE75F3" w:rsidRDefault="00AE75F3" w:rsidP="00AE75F3">
      <w:pPr>
        <w:pStyle w:val="Default"/>
        <w:rPr>
          <w:rFonts w:asciiTheme="minorHAnsi" w:hAnsiTheme="minorHAnsi"/>
          <w:sz w:val="18"/>
          <w:szCs w:val="18"/>
        </w:rPr>
      </w:pPr>
    </w:p>
    <w:p w14:paraId="3232FEBB" w14:textId="77777777" w:rsidR="00AE75F3" w:rsidRDefault="00AE75F3" w:rsidP="00AE75F3">
      <w:pPr>
        <w:tabs>
          <w:tab w:val="right" w:pos="7920"/>
          <w:tab w:val="left" w:pos="10800"/>
          <w:tab w:val="right" w:pos="13680"/>
        </w:tabs>
        <w:spacing w:after="0"/>
      </w:pPr>
    </w:p>
    <w:p w14:paraId="69630840" w14:textId="77777777" w:rsidR="00AE75F3" w:rsidRDefault="00AE75F3" w:rsidP="00AE75F3">
      <w:pPr>
        <w:tabs>
          <w:tab w:val="right" w:pos="7920"/>
          <w:tab w:val="left" w:pos="10800"/>
          <w:tab w:val="right" w:pos="13680"/>
        </w:tabs>
        <w:spacing w:after="0"/>
      </w:pPr>
      <w:r>
        <w:t xml:space="preserve">                                ______________________________      ___________        ________________________________        ___________</w:t>
      </w:r>
    </w:p>
    <w:p w14:paraId="1740618F" w14:textId="77777777" w:rsidR="00AE75F3" w:rsidRDefault="00AE75F3" w:rsidP="00AE75F3">
      <w:pPr>
        <w:tabs>
          <w:tab w:val="left" w:pos="1890"/>
          <w:tab w:val="left" w:pos="5580"/>
          <w:tab w:val="left" w:pos="7110"/>
          <w:tab w:val="right" w:pos="7920"/>
          <w:tab w:val="left" w:pos="11070"/>
          <w:tab w:val="left" w:pos="11970"/>
          <w:tab w:val="right" w:pos="13680"/>
        </w:tabs>
        <w:spacing w:after="0"/>
        <w:rPr>
          <w:rFonts w:ascii="Arial" w:hAnsi="Arial" w:cs="Arial"/>
          <w:sz w:val="18"/>
          <w:szCs w:val="18"/>
        </w:rPr>
      </w:pPr>
      <w:r w:rsidRPr="004B7587">
        <w:rPr>
          <w:sz w:val="18"/>
          <w:szCs w:val="18"/>
        </w:rPr>
        <w:tab/>
      </w:r>
      <w:bookmarkStart w:id="0" w:name="_GoBack"/>
      <w:bookmarkEnd w:id="0"/>
      <w:r w:rsidRPr="004B7587">
        <w:rPr>
          <w:sz w:val="18"/>
          <w:szCs w:val="18"/>
        </w:rPr>
        <w:t>Signature</w:t>
      </w:r>
      <w:r>
        <w:rPr>
          <w:sz w:val="18"/>
          <w:szCs w:val="18"/>
        </w:rPr>
        <w:t xml:space="preserve">, Chief Executive Officer      </w:t>
      </w:r>
      <w:r>
        <w:rPr>
          <w:sz w:val="18"/>
          <w:szCs w:val="18"/>
        </w:rPr>
        <w:tab/>
      </w:r>
      <w:r w:rsidRPr="004B7587">
        <w:rPr>
          <w:sz w:val="18"/>
          <w:szCs w:val="18"/>
        </w:rPr>
        <w:t xml:space="preserve">Date                    </w:t>
      </w:r>
      <w:r w:rsidRPr="004B7587">
        <w:rPr>
          <w:sz w:val="18"/>
          <w:szCs w:val="18"/>
        </w:rPr>
        <w:tab/>
        <w:t>Signature, Aca</w:t>
      </w:r>
      <w:r>
        <w:rPr>
          <w:sz w:val="18"/>
          <w:szCs w:val="18"/>
        </w:rPr>
        <w:t>demic Senate President</w:t>
      </w:r>
      <w:r>
        <w:rPr>
          <w:sz w:val="18"/>
          <w:szCs w:val="18"/>
        </w:rPr>
        <w:tab/>
      </w:r>
      <w:r w:rsidRPr="004B7587">
        <w:rPr>
          <w:sz w:val="18"/>
          <w:szCs w:val="18"/>
        </w:rPr>
        <w:t>Date</w:t>
      </w:r>
    </w:p>
    <w:p w14:paraId="1BEB6A6A" w14:textId="77777777" w:rsidR="00AE75F3" w:rsidRDefault="00AE75F3" w:rsidP="00AE75F3">
      <w:pPr>
        <w:tabs>
          <w:tab w:val="left" w:pos="1890"/>
          <w:tab w:val="left" w:pos="5580"/>
          <w:tab w:val="left" w:pos="7110"/>
          <w:tab w:val="right" w:pos="7920"/>
          <w:tab w:val="left" w:pos="11070"/>
          <w:tab w:val="left" w:pos="11970"/>
          <w:tab w:val="right" w:pos="13680"/>
        </w:tabs>
        <w:spacing w:after="0"/>
        <w:rPr>
          <w:rFonts w:ascii="Arial" w:hAnsi="Arial" w:cs="Arial"/>
          <w:sz w:val="18"/>
          <w:szCs w:val="18"/>
        </w:rPr>
      </w:pPr>
    </w:p>
    <w:p w14:paraId="315E3894" w14:textId="77777777" w:rsidR="00AE75F3" w:rsidRDefault="00AE75F3" w:rsidP="00AE75F3">
      <w:pPr>
        <w:tabs>
          <w:tab w:val="left" w:pos="1890"/>
          <w:tab w:val="left" w:pos="5580"/>
          <w:tab w:val="left" w:pos="7110"/>
          <w:tab w:val="right" w:pos="7920"/>
          <w:tab w:val="left" w:pos="11070"/>
          <w:tab w:val="left" w:pos="11970"/>
          <w:tab w:val="right" w:pos="13680"/>
        </w:tabs>
        <w:spacing w:after="0"/>
        <w:rPr>
          <w:rFonts w:ascii="Arial" w:hAnsi="Arial" w:cs="Arial"/>
          <w:sz w:val="18"/>
          <w:szCs w:val="18"/>
        </w:rPr>
      </w:pPr>
    </w:p>
    <w:p w14:paraId="06AD57F7" w14:textId="77777777" w:rsidR="00AE75F3" w:rsidRDefault="00AE75F3" w:rsidP="00AE75F3">
      <w:pPr>
        <w:tabs>
          <w:tab w:val="right" w:pos="7920"/>
          <w:tab w:val="left" w:pos="10800"/>
          <w:tab w:val="right" w:pos="13680"/>
        </w:tabs>
        <w:spacing w:after="0"/>
      </w:pPr>
      <w:r>
        <w:t xml:space="preserve">                                ______________________________      ___________        ________________________________        ___________</w:t>
      </w:r>
    </w:p>
    <w:p w14:paraId="43145C2C" w14:textId="77777777" w:rsidR="00AE75F3" w:rsidRDefault="00AE75F3" w:rsidP="00AE75F3">
      <w:pPr>
        <w:spacing w:after="0"/>
      </w:pPr>
      <w:r w:rsidRPr="004B758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B7587">
        <w:rPr>
          <w:sz w:val="18"/>
          <w:szCs w:val="18"/>
        </w:rPr>
        <w:t>Signature</w:t>
      </w:r>
      <w:r>
        <w:rPr>
          <w:sz w:val="18"/>
          <w:szCs w:val="18"/>
        </w:rPr>
        <w:t xml:space="preserve">, Chief Instructional Officer      </w:t>
      </w:r>
      <w:r>
        <w:rPr>
          <w:sz w:val="18"/>
          <w:szCs w:val="18"/>
        </w:rPr>
        <w:tab/>
      </w:r>
      <w:r w:rsidRPr="004B7587">
        <w:rPr>
          <w:sz w:val="18"/>
          <w:szCs w:val="18"/>
        </w:rPr>
        <w:t>Dat</w:t>
      </w:r>
    </w:p>
    <w:sectPr w:rsidR="00AE75F3" w:rsidSect="00AE75F3">
      <w:pgSz w:w="15840" w:h="12240" w:orient="landscape"/>
      <w:pgMar w:top="1440" w:right="1080" w:bottom="144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B361E" w14:textId="77777777" w:rsidR="00000000" w:rsidRDefault="00AE75F3">
      <w:pPr>
        <w:spacing w:after="0"/>
      </w:pPr>
      <w:r>
        <w:separator/>
      </w:r>
    </w:p>
  </w:endnote>
  <w:endnote w:type="continuationSeparator" w:id="0">
    <w:p w14:paraId="62C82606" w14:textId="77777777" w:rsidR="00000000" w:rsidRDefault="00AE7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93D54" w14:textId="77777777" w:rsidR="00AE75F3" w:rsidRDefault="00AE75F3" w:rsidP="00700D11">
    <w:pPr>
      <w:pStyle w:val="Footer"/>
      <w:tabs>
        <w:tab w:val="left" w:pos="0"/>
        <w:tab w:val="right" w:pos="14400"/>
      </w:tabs>
      <w:rPr>
        <w:color w:val="808080" w:themeColor="background1" w:themeShade="80"/>
        <w:sz w:val="18"/>
        <w:szCs w:val="18"/>
      </w:rPr>
    </w:pPr>
    <w:r>
      <w:rPr>
        <w:rStyle w:val="PageNumber"/>
        <w:i/>
        <w:u w:val="single"/>
      </w:rPr>
      <w:tab/>
      <w:t>_____________________</w:t>
    </w:r>
  </w:p>
  <w:p w14:paraId="22629828" w14:textId="77777777" w:rsidR="00AE75F3" w:rsidRDefault="00AE75F3" w:rsidP="00700D11">
    <w:pPr>
      <w:pStyle w:val="Footer"/>
      <w:tabs>
        <w:tab w:val="right" w:pos="14400"/>
      </w:tabs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2013-14 ESL/Basic Skills Allocation End-of-Year Report</w:t>
    </w:r>
    <w:r w:rsidRPr="00B31664"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AE75F3">
      <w:rPr>
        <w:noProof/>
        <w:color w:val="808080" w:themeColor="background1" w:themeShade="80"/>
        <w:sz w:val="18"/>
        <w:szCs w:val="18"/>
      </w:rPr>
      <w:t>1</w:t>
    </w:r>
    <w:r>
      <w:rPr>
        <w:noProof/>
        <w:color w:val="808080" w:themeColor="background1" w:themeShade="80"/>
        <w:sz w:val="18"/>
        <w:szCs w:val="18"/>
      </w:rPr>
      <w:fldChar w:fldCharType="end"/>
    </w:r>
  </w:p>
  <w:p w14:paraId="3B740BCD" w14:textId="77777777" w:rsidR="00AE75F3" w:rsidRPr="00700D11" w:rsidRDefault="00AE75F3" w:rsidP="00700D11">
    <w:pPr>
      <w:pStyle w:val="Footer"/>
      <w:tabs>
        <w:tab w:val="left" w:pos="0"/>
        <w:tab w:val="right" w:pos="10800"/>
      </w:tabs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2014-15 ESL/Basic Skills Allocation Goals/Action Plan and Expenditure Plan</w:t>
    </w:r>
    <w:r w:rsidRPr="00B31664">
      <w:rPr>
        <w:color w:val="808080" w:themeColor="background1" w:themeShade="80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CA00C" w14:textId="77777777" w:rsidR="00000000" w:rsidRDefault="00AE75F3">
      <w:pPr>
        <w:spacing w:after="0"/>
      </w:pPr>
      <w:r>
        <w:separator/>
      </w:r>
    </w:p>
  </w:footnote>
  <w:footnote w:type="continuationSeparator" w:id="0">
    <w:p w14:paraId="217D5AD5" w14:textId="77777777" w:rsidR="00000000" w:rsidRDefault="00AE7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8A5"/>
    <w:multiLevelType w:val="hybridMultilevel"/>
    <w:tmpl w:val="32BE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02FB7"/>
    <w:multiLevelType w:val="hybridMultilevel"/>
    <w:tmpl w:val="9938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D7477"/>
    <w:rsid w:val="0008107E"/>
    <w:rsid w:val="001A4CA1"/>
    <w:rsid w:val="001C2A4E"/>
    <w:rsid w:val="001D3F60"/>
    <w:rsid w:val="002033B0"/>
    <w:rsid w:val="002E2263"/>
    <w:rsid w:val="003675E5"/>
    <w:rsid w:val="00395238"/>
    <w:rsid w:val="004567D5"/>
    <w:rsid w:val="00456FE7"/>
    <w:rsid w:val="00463BC4"/>
    <w:rsid w:val="004A62B1"/>
    <w:rsid w:val="004B470B"/>
    <w:rsid w:val="005B2C74"/>
    <w:rsid w:val="00673F41"/>
    <w:rsid w:val="00677C13"/>
    <w:rsid w:val="006E7C64"/>
    <w:rsid w:val="00722FD6"/>
    <w:rsid w:val="0072608E"/>
    <w:rsid w:val="00743F99"/>
    <w:rsid w:val="007F13B3"/>
    <w:rsid w:val="00847265"/>
    <w:rsid w:val="008D7477"/>
    <w:rsid w:val="008F764A"/>
    <w:rsid w:val="00944961"/>
    <w:rsid w:val="00AE75F3"/>
    <w:rsid w:val="00B15A0D"/>
    <w:rsid w:val="00B43C29"/>
    <w:rsid w:val="00BC6D36"/>
    <w:rsid w:val="00C05D84"/>
    <w:rsid w:val="00CD5D88"/>
    <w:rsid w:val="00CE0AC9"/>
    <w:rsid w:val="00E47F64"/>
    <w:rsid w:val="00E70432"/>
    <w:rsid w:val="00E76A86"/>
    <w:rsid w:val="00E82112"/>
    <w:rsid w:val="00F326B3"/>
    <w:rsid w:val="00FC2F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B89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3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11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211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8211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2112"/>
    <w:rPr>
      <w:rFonts w:ascii="Times New Roman" w:hAnsi="Times New Roman"/>
    </w:rPr>
  </w:style>
  <w:style w:type="paragraph" w:customStyle="1" w:styleId="Default">
    <w:name w:val="Default"/>
    <w:rsid w:val="001A4CA1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2033B0"/>
    <w:pPr>
      <w:spacing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NoSpacing">
    <w:name w:val="No Spacing"/>
    <w:uiPriority w:val="1"/>
    <w:qFormat/>
    <w:rsid w:val="001D3F60"/>
    <w:pPr>
      <w:spacing w:after="0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5F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F3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semiHidden/>
    <w:rsid w:val="00AE75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1694</Words>
  <Characters>9657</Characters>
  <Application>Microsoft Macintosh Word</Application>
  <DocSecurity>0</DocSecurity>
  <Lines>80</Lines>
  <Paragraphs>22</Paragraphs>
  <ScaleCrop>false</ScaleCrop>
  <Company>Merritt College of Peralta CCD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Elliott</dc:creator>
  <cp:keywords/>
  <cp:lastModifiedBy>Ann Elliottt</cp:lastModifiedBy>
  <cp:revision>5</cp:revision>
  <cp:lastPrinted>2014-10-08T21:49:00Z</cp:lastPrinted>
  <dcterms:created xsi:type="dcterms:W3CDTF">2014-10-08T22:33:00Z</dcterms:created>
  <dcterms:modified xsi:type="dcterms:W3CDTF">2015-01-19T21:04:00Z</dcterms:modified>
</cp:coreProperties>
</file>